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633</w:t>
      </w:r>
    </w:p>
    <w:p>
      <w:r>
        <w:t>Bundesgericht (BGE), 2004-07-13, FR</w:t>
      </w:r>
    </w:p>
    <w:p>
      <w:r>
        <w:rPr>
          <w:b/>
        </w:rPr>
        <w:t xml:space="preserve">Quelle: </w:t>
      </w:r>
      <w:r>
        <w:t>https://mcp.opencaselaw.ch/entscheid/bge_BGE_130_III_633</w:t>
      </w:r>
    </w:p>
    <w:p>
      <w:r>
        <w:t>FR: ATF 130 III 633</w:t>
      </w:r>
    </w:p>
    <w:p>
      <w:r>
        <w:t>IT: DTF 130 III 633</w:t>
      </w:r>
    </w:p>
    <w:p>
      <w:pPr>
        <w:pStyle w:val="Heading2"/>
      </w:pPr>
      <w:r>
        <w:t>Regeste</w:t>
      </w:r>
    </w:p>
    <w:p>
      <w:r>
        <w:t>Regeste Aktiengesellschaft; Änderung der Firma, Vertretung. Eine laufende Änderung der Firma hindert die Aktiengesellschaft nicht daran, durch einen Vertreter Verträge abzuschliessen (E. 2.2.2.2.1).</w:t>
      </w:r>
    </w:p>
    <w:p>
      <w:r>
        <w:t>Regeste Société anonyme; modification de la raison sociale, représentation. Un changement de raison sociale en cours n'interdit pas à la société anonyme de conclure des contrats par l'intermédiaire d'un représentant (consid. 2.2.2.2.1).</w:t>
      </w:r>
    </w:p>
    <w:p>
      <w:r>
        <w:t>Regesto Società anonima; modifica della ragione sociale; rappresentanza. Il fatto che un cambiamento della ragione sociale sia in corso non vieta alla società anonima di concludere contratti per il tramite di un rappresentante (consid. 2.2.2.2.1).</w:t>
      </w:r>
    </w:p>
    <w:p>
      <w:pPr>
        <w:pStyle w:val="Heading2"/>
      </w:pPr>
      <w:r>
        <w:t>Erwägungen</w:t>
      </w:r>
    </w:p>
    <w:p>
      <w:r>
        <w:rPr>
          <w:b/>
        </w:rPr>
        <w:t>E. 2</w:t>
      </w:r>
    </w:p>
    <w:p>
      <w:r>
        <w:t>(...) 2.2.2.2.1 Pour qu'un acte juridique fait au nom d'autrui par un représentant puisse sortir ses effets dans la personne du tiers, il faut naturellement que le représenté existe au moment où cet acte est accompli, sous réserve du cas très particulier du nasciturus (cf. art. 31 al. 2 CC ). Ainsi, les actes faits au nom de la société anonyme avant que celle-ci n'ait acquis la personnalité par son inscription au registre du commerce (cf. art. 643 al. 1 CO ) entraînent la responsabilité personnelle et solidaire de leurs auteurs ( art. 645 al. 1 CO ). Pour qu'ils engagent la future société, à l'exclusion de ceux-ci, il faut que les obligations aient été expressément contractées au nom de la société et qu'elles aient été assumées par cette dernière dans les trois mois à dater de son inscription ( art. 645 al. 2 CO ; cf. ATF 123 III 24 consid. 2d et les références). Les circonstances du cas concret n'entrent pas dans les prévisions de la disposition citée. De fait, le contrat de courtage que B. avait conclu avec la défenderesse, sans indiquer du reste expressément à celle-ci qu'il agissait au nom de la demanderesse (...), ne l'a pas été pour le compte d'une société en voie de création, mais bien pour celui d'une société existante qui était en train de changer de raison sociale. Les deux hypothèses doivent être soigneusement distinguées en ce sens que, par la constitution d'une société anonyme, un nouveau sujet de droit est créé, tandis que, en cas de modification de la raison sociale, seul le nom d'une société qui existe déjà est changé (cf. ATF 128 III 137 consid. 4a). On ne saurait donc soutenir, comme l'ont fait apparemment les deux juridictions cantonales, qu'il n'y avait pas, avant le 24 novembre 2000, une entité susceptible de contracter avec la défenderesse par l'intermédiaire d'un représentant. Sans doute cette entité ne portait-elle pas encore le nom qui est aujourd'hui le sien, puisque la décision prise le 6 octobre 2000 par l'assemblée générale de Y. SA de modifier sa raison sociale n'avait pas encore été inscrite au registre du commerce (cf. art. 647 al. 3 CO ; sur l'effet constitutif d'une telle inscription, BGE 130 III 633 S. 636 voir GUILLAUME VIANIN, L'inscription au registre du commerce et ses effets, p. 253 ss, spéc. p. 263/264). Cela ne l'empêchait toutefois pas d'acquérir des droits et de contracter des obligations. Au demeurant, on ne voit pas en quoi le fait que la demanderesse s'était engagée, par anticipation, sous sa nouvelle raison sociale ait pu avoir une quelconque incidence sur la position juridique de son partenaire contractuel. Qu'elle ait contracté sous le nom de X. SA plutôt que sous celui d'Y. SA ne changeait rien pour la défenderesse, qui avait toujours en face d'elle une seule et unique personne morale ayant les mêmes capacités financières. En réalité, on est en présence d'une erreur de dénomination due vraisemblablement au fait que les personnes ayant agi pour la demanderesse ignoraient à quel moment la nouvelle dénomination entrait en vigueur. Or, une telle erreur n'empêchait pas la conclusion du contrat de courtage entre Servette et X. SA, puisqu'aussi bien l' art. 18 al. 1 CO commande de ne point s'y arrêter. D'où il suit que le changement de raison sociale en cours n'interdisait pas à la demanderesse de conclure le contrat de courtage litigieux avec la défenderesse par le truchement d'un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