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611</w:t>
      </w:r>
    </w:p>
    <w:p>
      <w:r>
        <w:t>Bundesgericht (BGE), 2004-08-24, FR</w:t>
      </w:r>
    </w:p>
    <w:p>
      <w:r>
        <w:rPr>
          <w:b/>
        </w:rPr>
        <w:t xml:space="preserve">Quelle: </w:t>
      </w:r>
      <w:r>
        <w:t>https://mcp.opencaselaw.ch/entscheid/bge_BGE_130_III_611</w:t>
      </w:r>
    </w:p>
    <w:p>
      <w:r>
        <w:t>FR: ATF 130 III 611</w:t>
      </w:r>
    </w:p>
    <w:p>
      <w:r>
        <w:t>IT: DTF 130 III 611</w:t>
      </w:r>
    </w:p>
    <w:p>
      <w:pPr>
        <w:pStyle w:val="Heading2"/>
      </w:pPr>
      <w:r>
        <w:t>Regeste</w:t>
      </w:r>
    </w:p>
    <w:p>
      <w:r>
        <w:t>Regeste Entgelt für die ausseramtliche Konkursverwaltung in anspruchsvollen Verfahren (Art. 47 GebV SchKG). Die Verfügung, mit der einstweilen lediglich der anwendbare Stundenansatz festgelegt wird, um dann anhand der von der ausseramtlichen Konkursverwaltung einzureichenden detaillierten Zusammenstellung des Aufwands das Entgelt endgültig bestimmen zu können, ist, obschon sie als Zwischenentscheid erscheint, nach Art. 19 Abs. 1 SchKG beim Bundesgericht anfechtbar. Mit Beschwerde nicht anfechtbar sind einzig Zwischenverfügungen verfahrensleitender Natur (E. 1.1). Wird das Bundesgericht mit einer Beschwerde gegen die Festsetzung des der ausseramtlichen Konkursverwaltung zustehenden Entgelts angerufen, greift es nur im Falle von Ermessensmissbrauch oder von Ermessensüberschreitung ein (E. 1.2). Die Methode, bei der die verschiedenen Konkurshandlungen in mehrere Kategorien eingeteilt werden und für jede von ihnen der ihr angemessene Stundenansatz festgelegt wird, statt jeder Person, die tätig geworden ist, das nach Massgabe ihrer verschiedenen Verrichtungen gewichtete Entgelt zuzusprechen, steht nicht im Widerspruch zur Rechtsprechung. Indem die obere kantonale Aufsichtsbehörde hier für jede der Kategorien einen Stundenansatz festgelegt hat, der sich im Rahmen der in der Rechtsprechung üblicherweise zugelassenen Beträge bewegt, hat sie das ihr zustehende Ermessen weder missbraucht noch überschritten (E. 3 und 4).</w:t>
      </w:r>
    </w:p>
    <w:p>
      <w:r>
        <w:t>Regeste Rémunération de l'administration spéciale de la faillite dans les procédures complexes (art. 47 OELP). La décision fixant simplement le tarif horaire applicable en attendant de pouvoir arrêter définitivement la rémunération de l'administration spéciale sur la base d'un décompte détaillé à fournir constitue, en dépit de son caractère incident, une décision susceptible d'être déférée au Tribunal fédéral au sens de l'art. 19 al. 1 LP. Les décisions incidentes qui ne peuvent être attaquées par la voie du recours LP sont, en effet, uniquement celles qui règlent le déroulement de la procédure (consid. 1.1). Saisi d'un recours concernant la fixation de la rémunération due à l'administration spéciale, le Tribunal fédéral n'intervient qu'en cas d'abus ou d'excès du pouvoir d'appréciation (consid. 1.2). La méthode consistant à répartir en plusieurs catégories les diverses activités de la liquidation et à fixer une rémunération horaire justifiée pour chacune d'elles, au lieu de rétribuer chaque intervenant avec pondération de la rémunération en fonction des diverses tâches accomplies, n'est pas contraire à la jurisprudence. En fixant, en l'espèce, un tarif horaire qui s'inscrit, pour chacune des catégories, dans la fourchette des montants normalement admis par la jurisprudence, l'autorité cantonale supérieure de surveillance n'a pas commis un abus ou un excès de son pouvoir d'appréciation (consid. 3 et 4).</w:t>
      </w:r>
    </w:p>
    <w:p>
      <w:r>
        <w:t>Regesto Rimunerazione dell'amministrazione speciale del fallimento nel caso di procedure complesse (art. 47 OTLEF). La decisione, che fissa semplicemente la tariffa oraria applicabile in attesa di poter stabilire definitivamente la rimunerazione dell'amministrazione speciale sulla base di un dettagliato conteggio da produrre, costituisce, nonostante la sua natura incidentale, una decisione suscettiva di essere deferita al Tribunale federale con un ricorso ai sensi dell'art. 19 cpv. 1 LEF. Le decisioni incidentali che non possono essere impugnate con un ricorso LEF sono, in effetti, unicamente quelle che disciplinano lo svolgimento della procedura (consid. 1.1). Adito con un ricorso concernente la fissazione della rimunerazione dovuta all'amministrazione speciale, il Tribunale federale interviene unicamente in caso di eccesso o abuso nell'apprezzamento (consid. 1.2). Il metodo consistente nel suddividere in diverse categorie le differenti attività della liquidazione e di fissare un'appropriata rimunerazione oraria per ciascuna di esse, invece di retribuire ogni interveniente ponderando la rimunerazione in funzione dei diversi compiti svolti, non è contrario alla giurisprudenza. Fissando, in concreto, una tariffa oraria che rientra, per ogni categoria, nella scala degli importi normalmente riconosciuti dalla giurisprudenza, l'autorità cantonale superiore di vigilanza non ha commesso un abuso o eccesso nell'apprezzamento (consid. 3 e 4).</w:t>
      </w:r>
    </w:p>
    <w:p>
      <w:pPr>
        <w:pStyle w:val="Heading2"/>
      </w:pPr>
      <w:r>
        <w:t>Erwägungen</w:t>
      </w:r>
    </w:p>
    <w:p>
      <w:r>
        <w:rPr>
          <w:b/>
        </w:rPr>
        <w:t>E. 1.1</w:t>
      </w:r>
    </w:p>
    <w:p>
      <w:r>
        <w:t>Aux termes de l' art. 19 al. 1 LP , toute décision de l'autorité cantonale supérieure de surveillance peut être déférée au Tribunal fédéral dans les dix jours dès sa notification pour violation du droit fédéral ou de traités internationaux conclus par la Confédération, ainsi que pour abus ou excès du pouvoir d'appréciation. Par décision au sens de cette disposition, il faut entendre une décision finale, soit un prononcé matériel qui a pour objet une mesure de la procédure d'exécution forcée (FRANCO LORANDI, Betreibungsrechtliche Beschwerde und Nichtigkeit, Bâle 2000, n. 22 ad art. 19 LP ; cf. ATF 129 III 88 consid. 2.1, ATF 129 III 400 consid. 1.1; ATF 128 III 156 consid. 1c). La décision attaquée revêt un caractère incident dans la mesure où elle fixe simplement le tarif horaire applicable en attendant de pouvoir arrêter définitivement, selon l'art. 47 al. 1 de l'ordonnance du 23 septembre 1996 sur les émoluments perçus en application de la loi fédérale sur la poursuite pour dettes et la faillite (OELP; RS 281.35), la rémunération sur la base du décompte détaillé à fournir BGE 130 III 611 S. 615 par l'administrateur spécial. Elle n'en constitue pas moins une décision susceptible d'être déférée au Tribunal fédéral au sens de l' art. 19 al. 1 LP . Il s'agit en effet d'un prononcé matériel, partiel certes comme le sont de nombreuses décisions dans le déroulement d'une procédure d'exécution forcée, mais pas incident au sens où l'entend la jurisprudence relative à la recevabilité des recours LP. Seules sont considérées comme incidentes et donc inattaquables par la voie d'un recours selon l' art. 19 al. 1 LP , selon cette jurisprudence, les décisions de l'autorité cantonale supérieure de surveillance qui règlent le déroulement de la procédure (décisions statuant sur des avances de frais, la suspension de la procédure, l'effet suspensif ou ordonnant le renvoi de la cause à l'autorité cantonale inférieure pour complément d'instruction, sauf - dans ce dernier cas - si l'autorité supérieure ordonne en même temps des mesures d'exécution forcée ( ATF 112 III 90 consid. 1; ATF 111 III 50 ; PFLEGHARD, in Geiser/ Münch, Prozessieren vor Bundesgericht, n. 5.26; AMONN/WALTHER, Grundriss des Schuldbetreibungs- und Konkursrechts, 7 e éd., Berne 2003, § 6 n. 8 et 88; LORANDI, op. cit., n. 23 ad art. 19 LP ; FLAVIO COMETTA, Kommentar zum Bundesgesetz über Schuldbetreibung und Konkurs, n. 6 ss ad art. 19 LP ). L' art. 81 OJ ne déclare d'ailleurs pas applicable par analogie l' art. 50 OJ traitant des cas de recours contre des décisions préjudicielles ou incidentes ( ATF 111 III 50 ). Il suit de là que le recours de l' art. 19 al. 1 LP est ouvert contre la décision de l'autorité supérieure fixant la rémunération horaire des différents collaborateurs de l'administration spéciale sur la base de l' art. 47 al. 1 OELP .</w:t>
      </w:r>
    </w:p>
    <w:p>
      <w:r>
        <w:rPr>
          <w:b/>
        </w:rPr>
        <w:t>E. 1.2</w:t>
      </w:r>
    </w:p>
    <w:p>
      <w:r>
        <w:t>L'autorité cantonale de surveillance appelée à fixer l'indemnité due à l'administration spéciale en vertu de l' art. 47 OELP jouit d'un large pouvoir d'appréciation. L'autorité fédérale de surveillance ne peut statuer en opportunité, ni substituer sa propre appréciation à celle de l'autorité cantonale; elle doit se borner à intervenir en cas d'excès ou d'abus du pouvoir d'appréciation, c'est-à-dire, notamment, si l'autorité cantonale a retenu des critères inappropriés, n'a pas tenu compte de circonstances pertinentes, n'a pas procédé à un examen complet des circonstances pertinentes ou n'a pas usé de critères objectifs ( ATF 130 III 176 consid. 1.2 et les références). (...) BGE 130 III 611 S. 616</w:t>
      </w:r>
    </w:p>
    <w:p>
      <w:r>
        <w:rPr>
          <w:b/>
        </w:rPr>
        <w:t>E. 3</w:t>
      </w:r>
    </w:p>
    <w:p>
      <w:r>
        <w:t>Le recourant soutient que la décision attaquée est constitutive d'un abus ou d'un excès du pouvoir d'appréciation en ce qui concerne la méthode de calculation retenue.</w:t>
      </w:r>
    </w:p>
    <w:p>
      <w:r>
        <w:rPr>
          <w:b/>
        </w:rPr>
        <w:t>E. 3.1</w:t>
      </w:r>
    </w:p>
    <w:p>
      <w:r>
        <w:t>La disposition de l' art. 47 OELP relative aux procédures complexes n'impose pas une méthode particulière pour fixer la rémunération de l'administration ordinaire ou spéciale; elle prescrit cependant de tenir compte, notamment, de la difficulté et de l'importance de l'affaire, du volume de travail fourni et du temps consacré. A cet effet, l'administration spéciale doit, avant de procéder à l'établissement du tableau de distribution définitif, soumettre à l'autorité de surveillance une liste détaillée de toutes ses vacations au sujet desquelles l'ordonnance sur les frais ne prévoit pas d'émolument spécial (art. 84 et 97 de l'ordonnance du 13 juillet 1911 sur l'administration des offices de faillite [OAOF; RS 281.32]). En l'espèce, le litige porte exclusivement sur la fixation de divers tarifs horaires, la rémunération définitive étant renvoyée au dépôt par l'administration spéciale d'un décompte détaillé de ses activités. Selon la jurisprudence, lorsqu'une procédure complexe n'entraîne pas que des travaux exigeants, il y a lieu de procéder à un décompte différencié. L'autorité de surveillance chargée de fixer la rémunération peut d'ailleurs tenir compte de tarifs, celui de la Chambre des sociétés fiduciaires par exemple, sans toutefois être liée par ces tarifs, mais l'indemnité accordée doit rester dans un rapport raisonnable avec les émoluments du tarif LP, vu l'obligation de tenir compte du caractère social de celui-ci. Ainsi, pour les activités d'avocat, il se justifie de rester en dessous du montant maximal admis par le tarif cantonal des avocats d'office ( ATF 120 III 97 et les arrêts cités).</w:t>
      </w:r>
    </w:p>
    <w:p>
      <w:r>
        <w:rPr>
          <w:b/>
        </w:rPr>
        <w:t>E. 3.2</w:t>
      </w:r>
    </w:p>
    <w:p>
      <w:r>
        <w:t>Se fondant sur ces principes, la décision attaquée retient qu'une fois la complexité globale de la liquidation admise, il ne saurait être question de rémunérer un administrateur chargé de tâches variées - simples ou très spécialisées - au tarif correspondant au maximum de ses capacités. Elle envisage dès lors deux méthodes, la première consistant à pondérer la rétribution de chaque intervenant en fonction des diverses tâches accomplies - avec comme inconvénients de devoir identifier chaque intervenant et de rétribuer des activités éventuellement improductives - et la seconde consistant à fixer une rétribution justifiée par chaque type d'intervention, prise de manière assez large, en présupposant qu'une personne adéquate BGE 130 III 611 S. 617 - ni incompétente, ni surqualifiée - en aura été chargée. L'autorité supérieure opte en faveur de la seconde méthode qui, en dépit de la difficulté de définition des différentes catégories de rémunération, permet l'adoption d'un point de vue plus objectif, se rapproche plus du système voulu par l'OELP, où les émoluments sont en général prévus par acte déterminé, et s'avère moins dépendante des options prises par l'administrateur et ses collaborateurs. Dans cette perspective et sous l'angle des intérêts de la masse, l'autorité supérieure distingue trois catégories de démarches: la première catégorie comprend les décisions fondamentales d'organisation d'un dossier complexe, la préparation et la prise des décisions stratégiques essentielles, la négociation des litiges les plus importants, ainsi que, dans le cas où l'administrateur est lui-même mandataire au procès, le choix des axes de défense ou d'attaque dans les procédures nécessaires; la deuxième catégorie recouvre les recherches juridiques et la correspondance ordinaires, la rédaction d'actes de procédure dans un cadre déterminé, la représentation lors de négociations limitées ou de réalisations ponctuelles et l'assistance à l'administrateur lors des réunions décisives; enfin, la troisième catégorie concerne les actes d'exécution au sens étroit, tels que la dactylographie, la fixation de rendez-vous, les renseignements donnés à des tiers intéressés sur le cours de la liquidation.</w:t>
      </w:r>
    </w:p>
    <w:p>
      <w:r>
        <w:rPr>
          <w:b/>
        </w:rPr>
        <w:t>E. 3.3</w:t>
      </w:r>
    </w:p>
    <w:p>
      <w:r>
        <w:t>La prise en considération de ces activités et leur répartition en trois catégories, compte tenu de la complexité de la liquidation en cause, rentrent dans le large pouvoir d'appréciation reconnu à l'autorité cantonale de surveillance. Le recours à une telle méthode en vue de fixer le tarif horaire applicable à l'administration spéciale et, partant, la rémunération pour ses vacations au sens de l' art. 84 OAOF n'apparaît pas en contradiction avec la jurisprudence rendue en application de l' art. 47 OELP , comme le soutient le recourant. La distinction des activités et, par conséquent, leur répartition en catégories sont en effet admises par la jurisprudence: ainsi, les activités d'un avocat peuvent se subdiviser en travaux de pure routine, tâches simples et activité exigeante; celles d'architecte et d'agent immobilier peuvent se limiter à une simple activité d'administration ( ATF 120 III 97 consid. 3a in fine et 3c). Selon le recourant, la méthode imposée par l'autorité supérieure, qui l'oblige en permanence à répartir en trois catégories les actes de liquidation accomplis par diverses personnes, constituerait une BGE 130 III 611 S. 618 exigence totalement disproportionnée en raison du surcroît de travail qu'elle implique; elle serait particulièrement choquante en l'espèce parce qu'intervenant près de quatre ans après le début des activités de l'administration. L'autorité supérieure n'a pas ignoré l'ampleur de la tâche. Elle a suggéré, pour la rendre plus aisée, que l'administrateur reprenne ses diverses notes et propose des classifications, avec totalisation des différents résultats, effort qui ne paraissait pas disproportionné s'agissant d'une somme d'honoraires de l'ordre du million de francs. Le recourant n'avance aucun élément propre à fonder le reproche d'abus ou d'excès du pouvoir d'appréciation sur ce point. Au demeurant, c'est manifestement en vain qu'il tente d'établir un parallèle avec l'activité des juges et greffiers du Tribunal fédéral, activité qui est totalement différente et soumise à un autre mode de rétribution que celui de l'administration spéciale de la faillite.</w:t>
      </w:r>
    </w:p>
    <w:p>
      <w:r>
        <w:rPr>
          <w:b/>
        </w:rPr>
        <w:t>E. 4</w:t>
      </w:r>
    </w:p>
    <w:p>
      <w:r>
        <w:t>Le recourant fait valoir que la décision attaquée est également constitutive d'un abus ou d'un excès du pouvoir d'appréciation en ce qui concerne les tarifs horaires fixés.</w:t>
      </w:r>
    </w:p>
    <w:p>
      <w:r>
        <w:rPr>
          <w:b/>
        </w:rPr>
        <w:t>E. 4.1</w:t>
      </w:r>
    </w:p>
    <w:p>
      <w:r>
        <w:t>L'autorité supérieure a retenu que les activités de la première catégorie (décisions fondamentales d'organisation, décisions stratégiques essentielles, négociation des litiges les plus importants) sont celles qui justifient en principe la désignation d'un administrateur spécial dans le cadre d'une faillite complexe. En pareil cas, l'administration est généralement confiée, vu les aspects commerciaux, comptables, fiscaux et pratiques de la liquidation d'une entreprise, à une fiduciaire, qui dispose de plus d'expérience et de savoir-faire qu'une étude d'avocats, laquelle court éventuellement le risque de voir la liquidation dans une perspective trop juridique ou judiciaire. En l'espèce, le recourant ne bénéficiait pas d'une expérience particulière en tant qu'administrateur spécial de faillite et ne se présentait pas non plus comme un spécialiste des problèmes juridiques de la faillite. Comparée à des situations examinées récemment par le Tribunal fédéral ( ATF 120 III 97 ) et par des tribunaux cantonaux, qui avaient admis des tarifs horaires allant de 120 fr. ("Leitende und qualifizierte Mitarbeiter"; St. Gallische Gerichts- und Verwaltungspraxis 1999 p. 180) à 220 fr. ("Mandatsleiter"; BlSchK 1999 p. 37), la situation du recourant était loin de justifier le taux de rétribution horaire auquel il prétendait, soit davantage que le tarif usuel de l'Ordre des Avocats Neuchâtelois, frais de secrétariat comptés de BGE 130 III 611 S. 619 surcroît séparément. L'autorité supérieure a donc estimé légitime d'accorder au recourant une rémunération horaire de 200 fr. pour ses activités essentielles répondant à la définition de la première catégorie. Pour celles de la deuxième catégorie, elle a admis une rétribution horaire de 140 fr., en relevant que si certaines tâches pouvaient être accomplies par une administration ordinaire, les démarches judiciaires appelleraient des débours plus élevés s'il fallait recourir à un avocat non administrateur. Aller plus haut, a estimé l'autorité cantonale, conduirait à dépasser très clairement, en moyenne et quelle que soit l'interprétation de l'accord préalable, le tarif qui avait été envisagé lors de la désignation du recourant et qui devait être pris en compte à côté des critères non exhaustifs de l' art. 47 OELP , car il reflétait l'idée que les uns et les autres se faisaient de la valeur de l'intervention de l'administrateur spécial au moment d'en décider.</w:t>
      </w:r>
    </w:p>
    <w:p>
      <w:r>
        <w:rPr>
          <w:b/>
        </w:rPr>
        <w:t>E. 4.2</w:t>
      </w:r>
    </w:p>
    <w:p>
      <w:r>
        <w:t>Le recourant invoque le résultat choquant du mode de calculation de la rémunération horaire adopté en l'espèce. Au vu de l'ensemble des circonstances du cas particulier, notamment du caractère hors norme de la faillite en cause et des montants en jeu, ce mode de calculation tendrait à assurer à l'administration spéciale une rémunération largement inférieure aux chiffres retenus par la jurisprudence. Par cette seule affirmation, le recourant ne démontre pas que l'autorité supérieure a commis un excès ou un abus de son large pouvoir d'appréciation. Outre que l'importance de la faillite et des montants en jeu n'a pas été omise dans l'examen de l'autorité cantonale, celle-ci a fixé, sur la base de critères à la fois pertinents, complets et objectifs, une rétribution horaire qui s'inscrit dans la fourchette des montants normalement admis par la jurisprudence et qui, partant, ne consacre aucun abus ou excès du pouvoir d'appréciation.</w:t>
      </w:r>
    </w:p>
    <w:p>
      <w:r>
        <w:rPr>
          <w:b/>
        </w:rPr>
        <w:t>E. 4.3</w:t>
      </w:r>
    </w:p>
    <w:p>
      <w:r>
        <w:t>Le recourant se plaint enfin du résultat choquant de la rétribution horaire attribuée par comparaison avec celle accordée dans la faillite E. L'autorité supérieure s'est exprimée sur la question et a donné les motifs d'un traitement différent des deux cas. Le recourant ne s'en prend pas à ces motifs et se contente d'affirmations toutes générales, de sorte que son grief est irrecevable ( art. 79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