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579</w:t>
      </w:r>
    </w:p>
    <w:p>
      <w:r>
        <w:t>Bundesgericht (BGE), 2004-07-19, DE</w:t>
      </w:r>
    </w:p>
    <w:p>
      <w:r>
        <w:rPr>
          <w:b/>
        </w:rPr>
        <w:t xml:space="preserve">Quelle: </w:t>
      </w:r>
      <w:r>
        <w:t>https://mcp.opencaselaw.ch/entscheid/bge_BGE_130_III_579</w:t>
      </w:r>
    </w:p>
    <w:p>
      <w:r>
        <w:t>FR: ATF 130 III 579</w:t>
      </w:r>
    </w:p>
    <w:p>
      <w:r>
        <w:t>IT: DTF 130 III 579</w:t>
      </w:r>
    </w:p>
    <w:p>
      <w:pPr>
        <w:pStyle w:val="Heading2"/>
      </w:pPr>
      <w:r>
        <w:t>Regeste</w:t>
      </w:r>
    </w:p>
    <w:p>
      <w:r>
        <w:t>Regeste Arrestvollzug (Art. 275 SchKG). Fehlt im Arrestbefehl die Angabe des Namens von Dritten, denen Vermögenswerte des Arrestschuldners lediglich formell gehören sollen, ist der Arrestbefehl insoweit nicht durchführbar (E. 2.1-2.2.2). Das Betreibungsamt darf über entsprechende Dritte nicht selber Nachforschungen machen oder Auskünfte verlangen (E. 2.2.3). Die Steuerbehörde muss als Arrestbehörde selber im Arrestbefehl die Namen von Dritten angeben, die lediglich formell Vermögenswerte des Schuldners halten (E. 2.2.4).</w:t>
      </w:r>
    </w:p>
    <w:p>
      <w:r>
        <w:t>Regeste Exécution du séquestre (art. 275 LP). Dans la mesure où elle n'indique pas les noms des tiers auxquels doivent appartenir à titre simplement formel des biens du débiteur, l'ordonnance de séquestre est inexécutable (consid. 2.1-2.2.2). L'office des poursuites n'a pas à faire lui-même des investigations ou exiger des renseignements sur les tiers concernés (consid. 2.2.3). L'autorité fiscale, en tant qu'autorité de séquestre, doit indiquer elle-même dans l'ordonnance de séquestre les noms des tiers qui détiennent à titre simplement formel des biens du débiteur (consid. 2.2.4).</w:t>
      </w:r>
    </w:p>
    <w:p>
      <w:r>
        <w:t>Regesto Esecuzione del sequestro (art. 275 LEF). Il decreto di sequestro è ineseguibile nella misura in cui non indica i nomi dei terzi ai quali i beni del debitore dovrebbero appartenere solo formalmente (consid. 2.1-2.2.2). L'Ufficio di esecuzione medesimo non può effettuare indagini o domandare informazioni su tali terzi (consid. 2.2.3). Quale autorità che ordina il sequestro, l'autorità fiscale deve indicare nel decreto di sequestro i nomi dei terzi che detengono solo formalmente i beni del debitore (consid. 2.2.4).</w:t>
      </w:r>
    </w:p>
    <w:p>
      <w:pPr>
        <w:pStyle w:val="Heading2"/>
      </w:pPr>
      <w:r>
        <w:t>Erwägungen</w:t>
      </w:r>
    </w:p>
    <w:p>
      <w:r>
        <w:rPr>
          <w:b/>
        </w:rPr>
        <w:t>E. 2.1</w:t>
      </w:r>
    </w:p>
    <w:p>
      <w:r>
        <w:t>Die Aufsichtsbehörde hat erwogen, dass die Formulierung in den Arrestbefehlen, wonach alle Werte des Schuldners bei der Beschwerdegegnerin in St. Moritz zu verarrestieren seien, bei denen sich erweise, dass X. oder Y. daran wirtschaftlich berechtigt seien, die Arrestgegenstände ungenügend spezifiziere und faktisch auf einen verpönten Sucharrest hinauslaufe. Weiter werde nirgends glaubhaft gemacht, dass die genannten Personen an Vermögenswerten, welche bei der Beschwerdegegnerin in St. Moritz lägen und auf den Namen Dritter lauteten, wirtschaftlich berechtigt seien. Der Arrestbefehl sei insoweit nichtig.</w:t>
      </w:r>
    </w:p>
    <w:p>
      <w:r>
        <w:rPr>
          <w:b/>
        </w:rPr>
        <w:t>E. 2.2</w:t>
      </w:r>
    </w:p>
    <w:p>
      <w:r>
        <w:t>Strittig ist, ob die Aufsichtsbehörde den Arrestvollzug in Bezug auf die in den Arrestbefehlen verwendete Formulierung " [jeder Wert] ... bei dem [sich] der Schuldner oder Frau Y. als [wirtschaftlich berechtigt] erweist" aufheben durfte.</w:t>
      </w:r>
    </w:p>
    <w:p>
      <w:r>
        <w:rPr>
          <w:b/>
        </w:rPr>
        <w:t>E. 2.2.1</w:t>
      </w:r>
    </w:p>
    <w:p>
      <w:r>
        <w:t>Die Aufsichtsbehörde bezieht sich mit ihrer Erwägung, dass die strittige Formulierung in den Arrestbefehlen die Arrestgegenstände ungenügend spezifiziere, auf den im Beschwerdeverfahren gerügten Umstand, dass im Arrestbefehl der Name derjenigen Person(en), die Vermögenswerte des Arrestschuldners ohne eigene wirtschaftliche Berechtigung hält (halten), nicht bezeichnet wird. Die Rechtsprechung leitet aus dem mit der SchKG-Revision eingeführten Art. 272 Abs. 1 Ziff. 3 SchKG ab, dass zumindest die Namen derjenigen Dritten anzugeben sind, die lediglich formell Vermögenswerte, insbesondere Forderungen des Schuldners halten, damit der Arrest überhaupt durchführbar ist ( BGE 126 III 95 E. 4a S. 97 mit Hinweis auf BGE 109 III 120 E. 6 S. 125; vgl. GILLIÉRON, Commentaire de la loi fédérale sur la poursuite pour dettes et la faillite, N. 36 a.E. zu Art. 274 SchKG ). Im konkreten Fall fehlt in den Steuerarrestbefehlen - abgesehen von der Person Y. - zumindest die Namensangabe von Dritten, denen Vermögen des Arrestschuldners lediglich formell gehören soll. Unter diesen Umständen ist nicht zu beanstanden, wenn die Aufsichtsbehörde zum Ergebnis gelangt ist, die Arrestbefehle seien insoweit nicht durchführbar un BGE 130 III 579 S. 582 d deren Vollzug aufzuheben ( BGE 129 III 203 E. 2.3 S. 207), soweit Vermögenswerte, an denen X. und/oder Y. wirtschaftlich berechtigt seien, bei der Beschwerdegegnerin in St. Moritz zu verarrestieren seien.</w:t>
      </w:r>
    </w:p>
    <w:p>
      <w:r>
        <w:rPr>
          <w:b/>
        </w:rPr>
        <w:t>E. 2.2.2</w:t>
      </w:r>
    </w:p>
    <w:p>
      <w:r>
        <w:t>An diesem Ergebnis vermag der Hinweis der Beschwerdeführer auf das Urteil des Bundesgerichts vom 17. Februar 1999 (BlSchK 2000 S. 142) nichts zu ändern. Gegenstand des zitierten Urteils war ein anhand einzelner Bankkonten konkretisierter und zulässiger Gattungsarrest (vgl. dazu STOFFEL, in: Kommentar zum Bundesgesetz über Schuldbetreibung und Konkurs, N. 29 zu Art. 272 SchKG ; AMONN/WALTHER, Grundriss des Schuldbetreibungs- und Konkursrechts, 7. Aufl., 2003, § 51 Rz. 35 und 50), genauso wie er - abgesehen von der fraglichen Formulierung - unbestrittenermassen vorliegt. Wie hier waren nicht alle Bankkonti bekannt. Anders als hier sollten dort ausschliesslich Guthaben eines bestimmten Bankkunden verarrestiert werden. Deshalb lässt sich jenem Urteil nichts entnehmen, was das Erfordernis nach BGE 126 III 95 E. 4a S. 97 in Frage stellt, wonach zumindest die Namen der Dritten anzugeben sind, die lediglich formell Vermögenswerte des Arrestschuldners halten, um den Arrest überhaupt durchzuführen.</w:t>
      </w:r>
    </w:p>
    <w:p>
      <w:r>
        <w:rPr>
          <w:b/>
        </w:rPr>
        <w:t>E. 2.2.3</w:t>
      </w:r>
    </w:p>
    <w:p>
      <w:r>
        <w:t>Die Beschwerdeführer versuchen ebenso vergeblich, aus BGE 129 III 239 etwas für sich abzuleiten. Wohl wird in diesem - ein Pfändungsverfahren betreffenden - Entscheid festgehalten, dass die Betreibungsbehörden gestützt auf Art. 91 Abs. 4 SchKG von einer Bank die Angabe der Vermögenswerte verlangen können, an welchen der Betriebene wirtschaftlich berechtigt ist ( BGE 129 III 239 E. 3.2 E. 241). Die für die Pfändung statuierte Auskunftspflicht gilt sinngemäss auch für den Arrestvollzug ( Art. 275 SchKG ; vgl. BGE 125 III 391 E. 2b S. 393). Das bedeutet, dass die Beschwerdegegnerin über die im Arrestbefehl genannten Arrestgegenstände Auskunft geben muss, also auch über Gegenstände und Guthaben, an denen nominell ein Dritter, und nicht der Schuldner berechtigt erscheint (vgl. GILLIÉRON, a.a.O., N. 50 f. und 57 zu Art. 275 SchKG ); umgekehrt darf der Betreibungsbeamte nicht Nachforschungen über nicht im Arrestbefehl genannte Vermögenswerte anstellen oder verlangen (REISER, in: Kommentar zum Bundesgesetz über Schuldbetreibung und Konkurs, N. 75 zu Art. 275 SchKG ; MARKUS MÜLLER-CHEN, Die Auskunftspflicht Dritter beim Pfändungs- und Arrestvollzug, in: BlSchK 2000 S. 226). Im konkreten Fall kann demnach das Betreibungsamt ohne weiteres insbesondere über die in BGE 130 III 579 S. 583 den Arrestbefehlen ausdrücklich aufgeführten Konten - unabhängig davon, wer daran formell berechtigt ist - Auskunft verlangen. Wenn aber in den Arrestbefehlen die Namensangabe von Dritten, denen - nicht genannte - Vermögenswerte des Arrestschuldners lediglich formell gehören, fehlt, und die Arrestbefehle insoweit nicht durchführbar sind (E. 2.2.1), darf der Betreibungsbeamte zum Arrestvollzug nicht selber Nachforschungen über entsprechende Dritte machen oder von der Beschwerdegegnerin weitere Auskünfte verlangen. Auch vor diesem Hintergrund ist das Ergebnis der Aufsichtsbehörde nicht zu beanstanden.</w:t>
      </w:r>
    </w:p>
    <w:p>
      <w:r>
        <w:rPr>
          <w:b/>
        </w:rPr>
        <w:t>E. 2.2.4</w:t>
      </w:r>
    </w:p>
    <w:p>
      <w:r>
        <w:t>Die Aufsichtsbehörde hat - im Sinne einer Eventualerwägung - schliesslich festgehalten, es werde auch nirgends glaub haft gemacht, dass X. oder Y. an (weiteren) Vermögenswerten, welche bei der Beschwerdegegnerin in St. Moritz lägen und auf den Namen Dritter lauteten, wirtschaftlich berechtigt seien. Die Beschwerdeführer kritisieren die Auffassung der Vorinstanz mit Hinweis auf deren Überprüfungsbefugnis. Darüber zu entscheiden, ob dem Gläubiger die Glaubhaftmachung gelungen sei, dass gewisse Vermögenswerte entgegen dem formellen Anschein dem Arrestschuldner zustehen, ist in der Tat Sache des Arrestrichters ( BGE 126 III 95 E. 4a a.E. S. 97), bzw. - falls nicht wie in Steuergesetzen ausgeschlossen - des Einspracherichters ( BGE 129 III 203 E. 2.2 und 2.3 S. 206). Demnach hätte die Aufsichtsbehörde über entsprechende Vorbringen gar nicht entscheiden können, vielmehr bleibt in der alleinigen Befugnis der Beschwerdeführer als Arrestbehörde ( Art. 170 DBG [SR 642.11]; Art. 78 StHG [SR 642.14]; Art. 249 LT/TI), selber im Arrestbefehl die Arrestgegenstände oder zumindest den Namen von Personen anzugeben, die lediglich formell Vermögenswerte, insbesondere Forderungen des Schuldners halten. Soweit die Beschwerdeführer diesem Erfordernis nicht nachgekommen sind, ist der Arrest nicht durchführbar, und die Vorbringen der Beschwerdeführer sind unbehelflich.</w:t>
      </w:r>
    </w:p>
    <w:p>
      <w:r>
        <w:rPr>
          <w:b/>
        </w:rPr>
        <w:t>E. 2.3</w:t>
      </w:r>
    </w:p>
    <w:p>
      <w:r>
        <w:t>Nach dem Dargelegten ergibt sich, dass der angefochtene Entscheid der Aufsichtsbehörde, mit welchem der Vollzug der Arrestbefehle insoweit aufgehoben worden ist, als er sich auf Vermögenswerte bei der Beschwerdegegnerin in St. Moritz bezieht, welche nicht auf den Namen von X. oder Y. lauten, sondern diese lediglich daran wirtschaftlich Berechtigte sein sollen, insgesamt vor Bundesrecht standhält.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