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547</w:t>
      </w:r>
    </w:p>
    <w:p>
      <w:r>
        <w:t>Bundesgericht (BGE), 2004-02-05, FR</w:t>
      </w:r>
    </w:p>
    <w:p>
      <w:r>
        <w:rPr>
          <w:b/>
        </w:rPr>
        <w:t xml:space="preserve">Quelle: </w:t>
      </w:r>
      <w:r>
        <w:t>https://mcp.opencaselaw.ch/entscheid/bge_BGE_130_III_547</w:t>
      </w:r>
    </w:p>
    <w:p>
      <w:r>
        <w:t>FR: ATF 130 III 547</w:t>
      </w:r>
    </w:p>
    <w:p>
      <w:r>
        <w:t>IT: DTF 130 III 547</w:t>
      </w:r>
    </w:p>
    <w:p>
      <w:pPr>
        <w:pStyle w:val="Heading2"/>
      </w:pPr>
      <w:r>
        <w:t>Regeste</w:t>
      </w:r>
    </w:p>
    <w:p>
      <w:r>
        <w:t>Regeste Art. 598 ZGB und Art. 62 ff. OR; Klage auf Rückerstattung eines Vermächtnisses. Anwendungsgebiet der Erbschaftsklage und der Klage aus ungerechtfertigter Bereicherung bezüglich der Rückerstattung eines Vermächtnisses, das dem Bedachten trotz einer diese Zuwendung widerrufenden testamentarischen Verfügung ausgeliefert worden ist (E. 2.1).</w:t>
      </w:r>
    </w:p>
    <w:p>
      <w:r>
        <w:t>Regeste Art. 598 CC et art. 62 ss CO; action en restitution d'un legs. Champs d'application respectifs de l'action en pétition d'hérédité et de l'action en enrichissement illégitime quant à la restitution d'un legs délivré au bénéficiaire en dépit d'une disposition testamentaire révoquant cette attribution (consid. 2.1).</w:t>
      </w:r>
    </w:p>
    <w:p>
      <w:r>
        <w:t>Regesto Art. 598 CC e art. 62 segg. CO; azione di restituzione di un legato. Rispettivi campi di applicazione della petizione d'eredità e dell'azione di indebito arricchimento con riferimento alla restituzione di un legato corrisposto al beneficato nonostante una disposizione testamentaria revocante tale liberalità (consid. 2.1).</w:t>
      </w:r>
    </w:p>
    <w:p>
      <w:pPr>
        <w:pStyle w:val="Heading2"/>
      </w:pPr>
      <w:r>
        <w:t>Erwägungen</w:t>
      </w:r>
    </w:p>
    <w:p>
      <w:r>
        <w:rPr>
          <w:b/>
        </w:rPr>
        <w:t>E. 2</w:t>
      </w:r>
    </w:p>
    <w:p>
      <w:r>
        <w:t>La seule question litigieuse en l'espèce est la prescription de l'action en restitution du legs introduite par le représentant de la communauté héréditaire contre le recourant. La juridiction cantonale a considéré que le délai de prescription a couru dès la communication aux héritiers, le 10 mai 2000, des derniers testaments de la BGE 130 III 547 S. 549 défunte; le recourant fait valoir, au contraire, que ce délai a débuté dès la communication des premiers testaments, le 10 juin 1998.</w:t>
      </w:r>
    </w:p>
    <w:p>
      <w:r>
        <w:rPr>
          <w:b/>
        </w:rPr>
        <w:t>E. 2.1</w:t>
      </w:r>
    </w:p>
    <w:p>
      <w:r>
        <w:t>Pour résoudre ce point, il faut déterminer préalablement la nature de l'action; sont décisifs, à cet égard, le contenu des conclusions et le fondement allégué ( ATF 117 II 26 consid. 2a p. 28 et la jurisprudence citée). En l'occurrence, l'intimé a conclu, en qualité de représentant de la communauté héréditaire (cf. art. 602 al. 3 CC ), à ce que le recourant soit condamné à restituer la somme que l'exécuteur testamentaire lui a versée par suite d'une incapacité de discernement (maladie mentale), subsidiairement d'une erreur; aussi bien, a-t-il fait appel aux règles sur l'enrichissement illégitime ( art. 62 ss CO ). L'autorité précédente s'est demandé si l'action ne devrait pas plutôt être qualifiée de pétition d'hérédité; elle a réservé son avis, car les deux actions qui entrent en ligne de compte sont soumises ici à des conditions identiques ( art. 67 al. 1 CO et art. 600 al. 1 CC ). A teneur de l' art. 598 al. 1 CC , l'action en pétition d'hérédité appartient à quiconque se croit autorisé à faire valoir, comme héritier légal ou institué, sur une succession ou sur des droits qui en dépendent, des droits préférables à ceux du possesseur. Dans le cas présent, l'intimé n'a pas réclamé, en se prévalant de sa vocation héréditaire ( ATF 91 II 327 consid. 3 p. 331/332), la réintégration dans la masse successorale d'un bien qui était en possession du recourant lors de l'ouverture de la succession, mais la restitution d'une somme qui se trouvait déjà dans la succession, et que l'exécuteur testamentaire - lequel "possède" la succession ( ATF 86 II 355 consid. 3 p. 359) - a versée à tort; dans ces conditions, l'action en pétition d'hérédité n'est pas donnée (cf. SOMM, Die Erbschaftsklage des Schweizerischen Zivilgesetzbuches, thèse Bâle 1993, p. 28/29). En revanche, l'action en enrichissement illégitime est ouverte ( art. 62 al. 2 CO ); l'attribution est dépourvue de cause, car elle a été effectuée sur la base d'une disposition pour cause de mort que la testatrice a révoquée ultérieurement ( condictio ob causam finitam ; cf., pour la restitution d'acomptes, après réduction d'un legs: ATF 71 II 147 consid. 6 p. 153).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