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537</w:t>
      </w:r>
    </w:p>
    <w:p>
      <w:r>
        <w:t>Bundesgericht (BGE), 2004-06-17, DE</w:t>
      </w:r>
    </w:p>
    <w:p>
      <w:r>
        <w:rPr>
          <w:b/>
        </w:rPr>
        <w:t xml:space="preserve">Quelle: </w:t>
      </w:r>
      <w:r>
        <w:t>https://mcp.opencaselaw.ch/entscheid/bge_BGE_130_III_537</w:t>
      </w:r>
    </w:p>
    <w:p>
      <w:r>
        <w:t>FR: ATF 130 III 537</w:t>
      </w:r>
    </w:p>
    <w:p>
      <w:r>
        <w:t>IT: DTF 130 III 537</w:t>
      </w:r>
    </w:p>
    <w:p>
      <w:pPr>
        <w:pStyle w:val="Heading2"/>
      </w:pPr>
      <w:r>
        <w:t>Regeste</w:t>
      </w:r>
    </w:p>
    <w:p>
      <w:r>
        <w:t>Regeste Art. 125 ZGB; gebührender Unterhalt; Aufnahme einer Erwerbstätigkeit; Grundsatz der Einheit des Scheidungsurteils. Haben die Ehegatten während rund zehn Jahren getrennt gelebt, ist für den gebührenden Unterhalt die Lebenshaltung während der Trennungszeit massgebend (E. 2). Voraussetzungen, unter denen ein Ehegatte verpflichtet werden kann, während des Getrenntlebens eine Erwerbstätigkeit aufzunehmen oder auszudehnen (E. 3). Besteht Anspruch auf nachehelichen Unterhalt, darf die güterrechtliche Auseinandersetzung nicht vom Entscheid über den Unterhalt abgetrennt und in ein besonderes Verfahren verwiesen werden (E. 4). Tragweite des Grundsatzes der Einheit des Scheidungsurteils im Verhältnis zwischen Scheidung einerseits und Scheidungsfolgen andererseits (E. 5).</w:t>
      </w:r>
    </w:p>
    <w:p>
      <w:r>
        <w:t>Regeste Art. 125 CC; entretien convenable; prise d'une activité lucrative; principe de l'unité du jugement de divorce. Lorsque les époux ont vécu séparés durant dix ans environ, le train de vie mené pendant la séparation est déterminant pour fixer l'entretien convenable (consid. 2). Conditions auxquelles un époux peut être obligé de reprendre ou d'étendre son activité lucrative pendant la suspension de la vie commune (consid. 3). S'il existe un droit à l'entretien après le divorce, la liquidation du régime matrimonial ne peut être disjointe de la décision concernant l'entretien et être renvoyée à une procédure séparée (consid. 4). Portée du principe de l'unité du jugement de divorce dans le rapport entre le divorce d'une part et les conséquences du divorce d'autre part (consid. 5).</w:t>
      </w:r>
    </w:p>
    <w:p>
      <w:r>
        <w:t>Regesto Art. 125 CC; debito mantenimento; inizio di un'attività lucrativa; principio dell'unità della sentenza di divorzio. Se i coniugi hanno vissuto per circa 10 anni separati, determinante per il debito mantenimento è il tenore di vita avuto durante il periodo di separazione (consid. 2). Presupposti per poter obbligare un coniuge ad iniziare od estendere un'attività lucrativa durante la separazione (consid. 3). Se sussiste un diritto al mantenimento dopo il divorzio, la liquidazione del regime matrimoniale non può essere disgiunta dalla decisione sul mantenimento ed essere rinviata a una procedura speciale (consid. 4). Portata del principio dell'unità della sentenza di divorzio nel rapporto fra il divorzio da un lato e le conseguenze del divorzio dall'altro (consid. 5).</w:t>
      </w:r>
    </w:p>
    <w:p>
      <w:pPr>
        <w:pStyle w:val="Heading2"/>
      </w:pPr>
      <w:r>
        <w:t>Erwägungen</w:t>
      </w:r>
    </w:p>
    <w:p>
      <w:r>
        <w:rPr>
          <w:b/>
        </w:rPr>
        <w:t>E. 2</w:t>
      </w:r>
    </w:p>
    <w:p>
      <w:r>
        <w:t>Gemäss Art. 125 Abs. 1 ZGB besteht Anspruch auf nachehelichen Unterhalt ("einen angemessenen Beitrag"), wenn einem Ehegatten nicht zuzumuten ist, dass er für den ihm gebührenden Unterhalt unter Einschluss einer angemessenen Altersvorsorge selbst aufkommt. Strittig ist, was unter dem "gebührenden Unterhalt" im konkreten Fall verstanden werden muss.</w:t>
      </w:r>
    </w:p>
    <w:p>
      <w:r>
        <w:rPr>
          <w:b/>
        </w:rPr>
        <w:t>E. 2.1</w:t>
      </w:r>
    </w:p>
    <w:p>
      <w:r>
        <w:t>Das Obergericht hat den gebührenden Unterhalt ausgehend von dem im Massnahmenverfahren ermittelten monatlichen Bedarf der Beklagten von Fr. 3'016.- bestimmt, der mit einem anrechenbaren Monatseinkommen von rund Fr. 3'300.- mehr als gedeckt sei. Die Beklagte wendet ein, sie habe Anspruch auf Fortführung der während der Ehe gelebten Lebenshaltung, weil ihre Ehe lebensprägend gewesen sei. Aber selbst wenn für ihre Lebenshaltung an die vorehelichen Verhältnisse anzuknüpfen wäre, könnte der gebührende Unterhalt nicht einfach mit dem Bedarf gleichgesetzt werden. Dieser Bedarf sei zudem unrichtig bestimmt worden. Die Beklagte bemängelt eine ungenügende Begründung ( Art. 51 Abs. 1 lit. c OG ) bzw. eine unvollständige Feststellung des Sachverhalts ( Art. 64 OG ) und ergänzt das obergerichtliche Urteil in tatsächlicher Hinsicht.</w:t>
      </w:r>
    </w:p>
    <w:p>
      <w:r>
        <w:rPr>
          <w:b/>
        </w:rPr>
        <w:t>E. 2.2</w:t>
      </w:r>
    </w:p>
    <w:p>
      <w:r>
        <w:t>Dass das Obergericht den "gebührenden Unterhalt" im Sinne von Art. 125 Abs. 1 ZGB anhand der Lebenshaltung während der Trennungszeit bestimmt hat, kann nicht beanstandet werden. Mit ihren Ausführungen übersieht die Beklagte einen wesentlichen Punkt: Im Sinne einer Ausnahme von den allgemeinen Grundsätzen ist die Lebenshaltung des anspruchsberechtigten Ehegatten während der Trennungszeit massgebend, wenn die Ehegatten vor der Scheidung bereits über eine längere Zeit hinweg getrennt gelebt haben. Diesfalls findet eine Anknüpfung an eine eheliche oder voreheliche Lebenshaltung nicht statt. Darin sind sich Lehre und Rechtsprechung BGE 130 III 537 S. 540 einig ( BGE 129 III 7 E. 3.1.1 S. 9; Urteil 5C.230/2003 vom 17. Februar 2004, E. 4.2, je mit Hinweisen, z.B. auf GLOOR/SPYCHER, Basler Kommentar, 2002, N. 3, und SCHWENZER, in: Praxiskommentar Scheidungsrecht, Basel 2000, N. 5, je zu Art. 125 ZGB ).</w:t>
      </w:r>
    </w:p>
    <w:p>
      <w:r>
        <w:rPr>
          <w:b/>
        </w:rPr>
        <w:t>E. 2.3</w:t>
      </w:r>
    </w:p>
    <w:p>
      <w:r>
        <w:t>Die Parteien leben nunmehr seit rund zehn Jahren getrennt und seit 1. September 1995 besteht eine gerichtliche Unterhaltsregelung. In Anbetracht dessen verletzt es kein Bundesrecht, dass das Obergericht auf die Lebenshaltung während dieser langandauernden Trennungszeit abgestellt hat. Was die Beklagte zu den verschiedenen Lebensverhältnissen ausführt und an Sachverhaltsergänzungen vorbringt, ist insoweit unerheblich.</w:t>
      </w:r>
    </w:p>
    <w:p>
      <w:r>
        <w:rPr>
          <w:b/>
        </w:rPr>
        <w:t>E. 2.4</w:t>
      </w:r>
    </w:p>
    <w:p>
      <w:r>
        <w:t>Das Obergericht hat von Beginn an nur bedarfsdeckende Unterhaltsbeiträge zuerkannt und den Bedarf zuletzt auf einen monatlichen Betrag von Fr. 3'016.- beziffert. Im kantonalen Verfahren hat die Beklagte dagegen lediglich eingewendet, es müssten höhere Mietkosten berücksichtigt werden. Das Obergericht hat dem Einwand entgegengehalten, die Beklagte begründe die geltend gemachten höheren Mietkosten nicht ausreichend. Soweit die Beklagte das heute nachholt, ohne in diesem Punkt ausnahmsweise zulässige Sachverhaltsrügen zu erheben (Art. 63 f. OG), kann auf ihre Berufung nicht eingetreten werden ( Art. 55 Abs. 1 lit. c und d OG ). Im Übrigen hat das Obergericht das ihm zustehenden Ermessen nicht verletzt mit der Annahme, dass die Mietkosten für die Beklagte als allein stehende Person Fr. 1'000.- nicht wesentlich überschreiten dürfen (Urteil 5C.6/2002 vom 11. Juni 2002, E. 4b/cc nicht publ. in BGE 128 III 257 ; VETTERLI, Über den praktischen Umgang mit Scheidungsrenten, AJP 1994 S. 929 ff., 934/935 bei Anm. 49).</w:t>
      </w:r>
    </w:p>
    <w:p>
      <w:r>
        <w:rPr>
          <w:b/>
        </w:rPr>
        <w:t>E. 2.5</w:t>
      </w:r>
    </w:p>
    <w:p>
      <w:r>
        <w:t>Nach dem Gesagten muss von einem monatlichen Bedarf der Beklagten von Fr. 3'016.- ausgegangen werden. Diesen anhand der betreibungsrechtlichen Richtlinien bestimmten Betrag hat das Obergericht - entgegen der Darstellung der Beklagten - nicht dem gebührenden Unterhalt im Gesetzessinne gleichgesetzt. Der gebührende Unterhalt liegt gemäss obergerichtlichem Urteil vielmehr bei rund Fr. 3'300.- pro Monat. Die Beklagte wendet dagegen nicht ein, dass ihre Lebenshaltung während der Trennungszeit von rund zehn Jahren wesentlich höher gewesen wäre.</w:t>
      </w:r>
    </w:p>
    <w:p>
      <w:r>
        <w:rPr>
          <w:b/>
        </w:rPr>
        <w:t>E. 3</w:t>
      </w:r>
    </w:p>
    <w:p>
      <w:r>
        <w:t>Einen nachehelichen Unterhaltsbeitrag kann nur der Ehegatte fordern, der nicht in der Lage ist, für seinen im Sinne von Art. 125 Abs. 1 ZGB gebührenden Unterhalt unter Einschluss einer BGE 130 III 537 S. 541 ange messenen Altersvorsorge selbst aufzukommen. Das Obergericht hat die Eigenversorgungskapazität der Beklagten bejaht und angenommen, es sei ihr die Aufnahme einer Teilzeitarbeit zumutbar. Die Beklagte bestreitet die Zumutbarkeit eigener Erwerbstätigkeit.</w:t>
      </w:r>
    </w:p>
    <w:p>
      <w:r>
        <w:rPr>
          <w:b/>
        </w:rPr>
        <w:t>E. 3.1</w:t>
      </w:r>
    </w:p>
    <w:p>
      <w:r>
        <w:t>Das Obergericht ist davon ausgegangen, die Beklagte sei bei ihrer Trennung vom Kläger im Mai 1995 fünfzig Jahre alt gewesen, habe ihre Erwerbstätigkeit erst fünf Jahre zuvor aufgegeben und hätte als Informatikerin mit Hochschulabschluss seither ohne weiteres eine Teilzeitbeschäftigung finden können. Mit der IV-Rente von Fr. 1'473.- und einem zumutbaren Erwerbseinkommen von mindestens Fr. 1'831.- vermöge sie den ihr gebührenden Unterhalt zu decken. Angesichts der zu erwartenden Verbesserung ihrer gesundheitlichen Situation nach der Scheidung dürfe der Beklagten ein noch höherer Verdienst angerechnet werden. Sie könne daher auch nach Auflösung der Ehe nicht nur ihren Lebensunterhalt bestreiten, sondern zusätzlich für das Alter noch einen angemessenen Betrag auf die Seite legen. Die Beklagte wendet sich gegen die bejahte Zumutbarkeit, während des Scheidungsverfahrens eine eigene Erwerbstätigkeit aufzunehmen. In tatsächlicher Hinsicht bemängelt sie, dass die Leistungsfähigkeit des Klägers nicht abgeklärt worden sei. Sie verlangt diesbezüglich eine Vervollständigung des Sachverhalts.</w:t>
      </w:r>
    </w:p>
    <w:p>
      <w:r>
        <w:rPr>
          <w:b/>
        </w:rPr>
        <w:t>E. 3.2</w:t>
      </w:r>
    </w:p>
    <w:p>
      <w:r>
        <w:t>Unter dem Titel "Die Wirkungen der Ehe im allgemeinen" regeln die Art. 163 ff. ZGB den Unterhalt der Familie. Auch nach Aufhebung des gemeinsamen Haushalts in einem Scheidungs- oder Eheschutzverfahren behält der Unterhaltsanspruch seine Grundlage in diesen Gesetzesbestimmungen. Für entsprechende Massnahmen des Scheidungs- und des Eheschutzgerichts gelten daher im Grundsatz dieselben Regeln (statt vieler: HAUSHEER/BRUNNER, in: Handbuch des Unterhaltsrechts, Bern 1997, N. 04.93 S. 227). Die ZGB-Revision von 1998/2000 hat daran nichts geändert. Im Unterschied zum bisherigen Recht (aArt. 145 Abs. 2 ZGB) erklärt Art. 137 Abs. 2 ZGB nunmehr ausdrücklich die Bestimmungen über die Massnahmen zum Schutz der ehelichen Gemeinschaft für sinngemäss anwendbar (vgl. dazu Botschaft, BBl 1996 I 1, Ziff. 234.4 S. 137). Nach den grundsätzlich gleichen Kriterien ist somit zu prüfen, ob und in welchem Umfang dem Ehegatten, der durch das Getrenntleben der Pflicht zur Führung des gemeinsamen Haushalts enthoben ist, zugemutet werden darf, seine freigewordene Arbeitskraft BGE 130 III 537 S. 542 anderweitig einzusetzen und eine Erwerbstätigkeit aufzunehmen oder auszudehnen. Im Eheschutzverfahren ist eine Pflicht zur Aufnahme oder Ausdehnung einer Erwerbstätigkeit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(HAUSHEER/REUSSER/ Geiser, Berner Kommentar, 1999, N. 19a zu Art. 176 ZGB , mit Hinweisen). Im Scheidungsverfahren ist zusätzlich zu beachten, dass die vorsorglichen Massnahmen einen anderen Zweck verfolgen als die Eheschutzmassnahmen. Nach Eintritt der Rechtshängigkeit des Scheidungsprozesses wird eine Rückkehr zur gemeinsam vereinbarten Aufgabenteilung weder angestrebt noch ist sie wahrscheinlich. Insoweit darf dem Ziel der wirtschaftlichen Selbstständigkeit des bisher nicht oder bloss in beschränktem Umfang erwerbstätigen Ehegatten bereits eine gewisse Bedeutung zugemessen werden und in stärkerem Ausmass als im Eheschutzverfahren auf die bundesgerichtlichen Richtlinien zum Scheidungsunterhalt abgestellt werden (HAUSHEER/BRUNNER, a.a.O., N. 04.98 S. 229; vgl. dazu BGE 128 III 65 E. 4a S. 67 und das die Parteien betreffende Urteil 5P.189/2002 vom 17. Juli 2002, E. 2, zusammengefasst in: FamPra.ch 2002 S. 836).</w:t>
      </w:r>
    </w:p>
    <w:p>
      <w:r>
        <w:rPr>
          <w:b/>
        </w:rPr>
        <w:t>E. 3.3</w:t>
      </w:r>
    </w:p>
    <w:p>
      <w:r>
        <w:t>Gemäss den verbindlichen Feststellungen des Obergerichts hat die Beklagte ihre bezahlte Erwerbstätigkeit im Alter von vierundvierzig Jahren aufgegeben und ab 1989 bis ca. 1992 im Betrieb des Klägers mitgearbeitet. Nebst dieser zeitlich beschränkten Mitarbeit hat die Beklagte die Kinder des Klägers aus erster Ehe betreut und den gemeinsamen Haushalt besorgt. Die Trennung im Mai 1995 ist abrupt erfolgt. Bei ihrer Rückkehr von einem mehrmonatigen Aufenthalt in ihrer Heimat hat der Kläger, der inzwischen mit einer anderen Frau zusammenlebte, die Beklagte endgültig aus der ehelichen Wohnung gewiesen - bekundet durch Auswechseln der Türschlösser und entsprechende Mitteilung. BGE 130 III 537 S. 543 Auf Grund des geschilderten Sachverhalts muss von einer Ehe mit traditioneller Rollenverteilung ausgegangen werden. Mit Blick auf die verschiedenen vorsorglichen Massnahmen betreffend Unterhalt können die wirtschaftlichen Verhältnisse auf Seiten des Klägers als grundsätzlich gut bezeichnet werden, auch wenn sie im kantonalen Verfahren nicht restlos geklärt worden sind. Der Kläger ist jedenfalls in der Lage gewesen, die trennungsbedingten Mehrkosten allein zu tragen und der Beklagten bedarfsdeckende Beiträge von Fr. 3'800.- bzw. Fr. 3'000.- monatlich zu bezahlen. Haben die finanziellen Mittel zur Bezahlung der Kosten zweier Haushalte problemlos ausgereicht, hat für die Beklagte keine Pflicht bestanden, sofort ab der Trennung eine Arbeit aufzunehmen. Die erwähnten Begleitumstände der Trennung im Mai 1995 machen deutlich, dass die Beklagte bereits ab jenem Zeitpunkt nicht mehr ernsthaft mit einer Wiederherstellung der ehelichen Gemeinschaft rechnen durfte. Insoweit hat das Obergericht zu Recht die Grundsätze für den nachehelichen Scheidungsunterhalt in die Beurteilung miteinbezogen. Es hat dabei jedoch zu wenig gewürdigt, dass der Kläger selbst erst im Dezember 2000 die ersatzlose Aufhebung seiner Unterhaltspflicht während des Scheidungsverfahrens verlangt hatte. Bei dieser Verfahrenslage erscheint es als offensichtlich treuwidrig, von der Beklagten zu verlangen, sie hätte sich bereits ab Mai 1995 um ein eigenes Erwerbseinkommen bemühen können und müssen, wenn der Kläger dergleichen erstmals im Dezember 2000 gefordert hat. Bis zu diesem Zeitpunkt hat für die Beklagte weder ein Anlass noch die Pflicht bestanden, eine Teilzeitarbeit zu suchen und aufzunehmen.</w:t>
      </w:r>
    </w:p>
    <w:p>
      <w:r>
        <w:rPr>
          <w:b/>
        </w:rPr>
        <w:t>E. 3.4</w:t>
      </w:r>
    </w:p>
    <w:p>
      <w:r>
        <w:t>Zu prüfen bleibt, ob es der Beklagten ab Dezember 2000 zumutbar gewesen wäre, eine eigene Erwerbstätigkeit aufzunehmen. Die Beurteilung kann anhand der in Art. 125 Abs. 2 ZGB genannten Kriterien (Ziff. 1-8) erfolgen, die insbesondere zu berücksichtigen sind beim Entscheid, ob ein Beitrag zu leisten ist und gegebenenfalls in welcher Höhe und für wie lange. Für die Zumutbarkeit, wenigstens eine Teilzeitarbeit aufzunehmen, sprechen die eher kurze Dauer des ehelichen Zusammenlebens von rund fünf Jahren (Ziff. 2) und die Tatsache, dass keine Kinder (mehr) zu betreuen sind (Ziff. 6). Gegen die Zumutbarkeit sprechen indessen alle weiteren Kriterien. Die Ehegatten haben eine traditionelle Aufgabenteilung gewählt, wonach die Beklagte während der Ehe keiner Erwerbstätigkeit nachgehen musste und finanziell ausreichend vom BGE 130 III 537 S. 544 Kläger unterhalten wurde (Ziff. 1 und 3). Die Beklagte ist heute beinahe sechzig Jahre alt, stand bereits im Dezember 2000 im fünfundfünfzigsten Altersjahr und ist seit Dezember 1999 psychisch angeschlagen, invalid mit einem Grad von 73 % und mindestens teilweise erwerbsunfähig (Ziff. 4). Die Einkommens- und Vermögensverhältnisse sind auf Seiten des Klägers offenbar eher gut, auf Seiten der Beklagten hingegen eher schlecht (Ziff. 5). Schliesslich hat die Beklagte seit rund elf Jahren nicht mehr in ihren angestammten Bereichen "Informatik" und "Banken" gearbeitet, wo nach allgemeiner Lebenserfahrung laufend Stellen abgebaut und ältere Mitarbeiter regelmässig frühpensioniert werden und trotz guter Grundschulung ohne ständige Fort- und Weiterbildung kein Auskommen mehr zu finden ist (Ziff. 7). Mit Bezug auf die Altersvorsorge kann die Beklagte lediglich mit einer kleinen Rente aus dem zu teilenden BVG-Guthaben des Klägers im Betrag von rund Fr. 45'000.- rechnen und wird voraussichtlich auch nicht viel mehr als eine einfache AHV-Rente erhalten (Ziff. 8). Die Abwägung all dieser Kriterien führt zum Schluss, dass der Beklagten eine Teilzeitarbeit nicht zugemutet und deshalb auch kein eigenes Erwerbseinkommen mit Wirkung ab Dezember 2000 angerechnet werden kann.</w:t>
      </w:r>
    </w:p>
    <w:p>
      <w:r>
        <w:rPr>
          <w:b/>
        </w:rPr>
        <w:t>E. 3.5</w:t>
      </w:r>
    </w:p>
    <w:p>
      <w:r>
        <w:t>Aus den dargelegten Gründen muss die Berufung der Beklagten gutgeheissen werden, soweit sie sich gegen die Abweisung ihrer Unterhaltsbegehren richtet. Die Sache ist an das Obergericht zur Bestimmung des "angemessenen Beitrags" im Sinne von Art. 125 Abs. 1 ZGB zurückzuweisen. Auf die in diesem Zusammenhang vor Bundesgericht erhobenen Sachverhaltsrügen der Beklagten einzugehen, erübrigt sich bei diesem Ergebnis.</w:t>
      </w:r>
    </w:p>
    <w:p>
      <w:r>
        <w:rPr>
          <w:b/>
        </w:rPr>
        <w:t>E. 4</w:t>
      </w:r>
    </w:p>
    <w:p>
      <w:r>
        <w:t>Unter Berufung auf den Grundsatz der Einheit des Scheidungsurteils macht die Beklagte geltend, die güterrechtliche Auseinandersetzung hätte nicht "ad separatum" verwiesen werden dürfen. Da sie Anspruch auf nachehelichen Unterhalt habe, hätte nach diesem Grundsatz über Güterrecht und Unterhalt im gleichen Urteil entschieden werden müssen. Gemäss Art. 125 Abs. 2 Ziff. 5 ZGB sind beim Entscheid, "ob ein Beitrag zu leisten sei und gegebenenfalls in welcher Höhe und wie lange", Einkommen und Vermögen der Ehegatten zu berücksichtigen. Zum Vermögen zählt das Ergebnis der güterrechtlichen Auseinandersetzung (vgl. SCHWENZER, a.a.O., N. 57, und SUTTER/ BGE 130 III 537 S. 545 Freiburghaus, Kommentar zum neuen Scheidungsrecht, Zürich 1999, N. 88, je zu Art. 125 ZGB ). Auf Grund der Gesetzessystematik hat das Bundesgericht denn auch festgehalten, das Scheidungsgericht habe zuerst die güterrechtliche Auseinandersetzung durchzuführen ( Art. 120 Abs. 1 ZGB ), dann die Ansprüche aus der beruflichen Vorsorge zu regeln ( Art. 122-124 ZGB ) und erst zuletzt über den nachehelichen Unterhalt zu entscheiden ( Art. 125 ZGB ), damit sämtliche Kriterien gemäss Art. 125 Abs. 2 ZGB - insbesondere die Ziff. 5 und 8 - berücksichtigt werden können (vgl. BGE 129 III 7 E. 3.1.2 S. 9). Da die Beklagte mangels ausreichender Eigenversorgungskapazität auf nachehelichen Unterhalt Anspruch erheben kann (E. 3 hiervor), missachtet die obergerichtliche Verweisung der güterrechtlichen Auseinandersetzung in ein separates Verfahren Art. 125 Abs. 2 Ziff. 5 ZGB . Der angerufene Grundsatz der Einheit des Scheidungsurteils spielt im Verhältnis von Güterrecht und Unterhalt insoweit keine selbstständige Rolle mehr bzw. ist mit der ZGB-Revision von 1998/2000 gesetzlich verankert worden. Die Sache ist in Gutheissung der Berufung an das Obergericht zurückzuweisen, damit es vor dem Entscheid über den nachehelichen Unterhalt die Parteien güterrechtlich auseinandersetzt.</w:t>
      </w:r>
    </w:p>
    <w:p>
      <w:r>
        <w:rPr>
          <w:b/>
        </w:rPr>
        <w:t>E. 5</w:t>
      </w:r>
    </w:p>
    <w:p>
      <w:r>
        <w:t>Nach Auffassung der Beklagten gebietet der Grundsatz der Einheit des Scheidungsurteils, dass das Gericht im gleichen Urteil über die Scheidung und die Scheidungsfolgen entscheidet. Das Obergericht hat an der Richtigkeit dieser Auffassung gezweifelt, dann aber die Scheidung dennoch neu ausgesprochen. Vor Bundesgericht wiederholt die Beklagte ihren Eventualantrag, das obergerichtliche Urteil gesamthaft aufzuheben und die Sache zur gemeinsamen Entscheidung von Scheidungspunkt und sämtlichen Nebenfolgen bis in die erste Instanz zurückzuweisen.</w:t>
      </w:r>
    </w:p>
    <w:p>
      <w:r>
        <w:rPr>
          <w:b/>
        </w:rPr>
        <w:t>E. 5.1</w:t>
      </w:r>
    </w:p>
    <w:p>
      <w:r>
        <w:t>Nach bisherigem Recht besagt der Grundsatz der Einheit des Scheidungsurteils, dass das mit der Scheidungsklage befasste Gericht auch für die Regelung aller sich aus der Scheidung ergebenden Nebenfolgen ausschliesslich zuständig ist und hierüber im gleichen Verfahren zu entscheiden hat. Es soll damit sichergestellt werden, dass alle im Zusammenhang mit einer Scheidung zu lösenden Fragen in einheitlicher Weise beurteilt werden und die bei getrennten Verfahren bestehende Gefahr widersprechender Entscheide vermieden wird - insbesondere was die Berücksichtigung eines BGE 130 III 537 S. 546 Verschuldens im Scheidungspunkt (aArt. 142 Abs. 2 ZGB) einerseits und bei der Beurteilung der Leistungen bei Scheidung (aArt. 151 f. ZGB) andererseits betrifft (LÜCHINGER/GEISER, Basler Kommentar, 1996, N. 3 der Vorbem. zu aArt. 137 ff. ZGB, mit Hinweisen; BGE 123 III 433 E. 4b S. 437). In ständiger Rechtsprechung hat das Bundesgericht deshalb kantonale Urteile aufgehoben, mit denen das Rechtsmittelgericht die Scheidung aussprach, die Regelung der Nebenfolgen hingegen an seine Vorinstanz und damit (stillschweigend) in ein separates Verfahren verwies ( BGE 113 II 97 E. 2 S. 99). In einem gewissen Spannungsverhältnis hat dazu die ständige Praxis gestanden, wonach es ausschliesslich Sache des kantonalen Rechts ist, ob für den Weiterzug erstinstanzlicher Urteile der Grundsatz der Teilrechtskraft gelten soll ( BGE 128 III 121 E. 3a S. 122). Denn die Anerkennung der Teilrechtskraft bedeutet eine Ausnahme vom Grundsatz der Einheit des Scheidungsurteils und konnte die - unerwünschte - Folge haben, dass das Rechtsmittelgericht das Verschulden im Zusammenhang mit den vermögensrechtlichen Nebenfolgen der Scheidung abweichend von seiner Vorinstanz beurteilt, die über den Scheidungspunkt und die damit verbundene Schuldfrage zuvor rechtskräftig entschieden hat (vgl. LEUCH, Die Zivilprozessordnung für den Kanton Bern, 3. Aufl., Bern 1956/1985, N. 1 Abs. 4 zu Art. 333 ZPO /BE, S. 313, mit Hinweisen auf nicht veröffentlichte Urteile des Bundesgerichts).</w:t>
      </w:r>
    </w:p>
    <w:p>
      <w:r>
        <w:rPr>
          <w:b/>
        </w:rPr>
        <w:t>E. 5.2</w:t>
      </w:r>
    </w:p>
    <w:p>
      <w:r>
        <w:t>Der schon bisher kraft ungeschriebenen Bundesrechts geltende Grundsatz der Einheit des Scheidungsurteils ist auch nach der ZGB-Revision von 1998/2000 zu beachten (STECK, Basler Kommentar, 2002, N. 7 zu Art. 120 ZGB , mit Hinweisen; aus der Rechtsprechung: Urteil 5C.136/2002 vom 24. Oktober 2002, E. 3 nicht publ. in BGE 129 III 1 ; Urteil 5C.221/2001 vom 20. Februar 2002, E. 3a, publ. in: Pra 91/2002 Nr. 86 S. 495 f. und SJ 2002 I S. 276 f.). Seine Tragweite hat sich allerdings verändert. Das geltende Scheidungsrecht hat den Grundsatz der Teilrechtskraft in Art. 148 Abs. 1 ZGB verankert. Es ist weitgehend verschuldensunabhängig ausgestaltet (vgl. BGE 127 III 65 E. 2a S. 66/67 mit Hinweisen), so dass ein Koordinationsbedarf zwischen Scheidung einerseits und Scheidungsfolgen andererseits praktisch vollständig entfallen ist. Eine Gefahr sich widersprechender Urteile wäre höchstens noch in den seltenen Ausnahmefällen denkbar, wo die Ehe aus schwerwiegenden Gründen im Sinne von Art. 115 ZGB geschieden und der Unterhalt aus denselben Gründen gemäss Art. 125 Abs. 3 BGE 130 III 537 S. 547 ZGB versagt oder gekürzt wird. Diesbezüglich bleibt ein gewisser Koordinationsbedarf bestehen (vgl. FANKHAUSER, in: Schwenzer [Hrsg.], Praxiskommentar Scheidungsrecht, Basel 2000, N. 7 a.E. zu Art. 115 ZGB ; SUTTER/FREIBURGHAUS, a.a.O., N. 104 zu Art. 125 ZGB ). Bei der vorliegenden Scheidung der Ehe nach Ablauf der vierjährigen Trennungsfrist ( Art. 114 ZGB ) ist hingegen nicht ersichtlich, welches schutzwürdige Interesse noch daran bestehen könnte, in Anwendung des Grundsatzes der Einheit des Scheidungsurteils auch das Urteil im Scheidungspunkt aufzuheben, wenn über die Unterhaltsfrage in einer unteren Instanz neu entschieden werden muss.</w:t>
      </w:r>
    </w:p>
    <w:p>
      <w:r>
        <w:rPr>
          <w:b/>
        </w:rPr>
        <w:t>E. 5.3</w:t>
      </w:r>
    </w:p>
    <w:p>
      <w:r>
        <w:t>Aus den dargelegten Gründen kann auf die Berufung nicht eingetreten werden, soweit damit unter blossem Hinweis auf den Grundsatz der Einheit des Scheidungsurteils die Aufhebung des obergerichtlichen Urteils im Scheidungspunkt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