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495</w:t>
      </w:r>
    </w:p>
    <w:p>
      <w:r>
        <w:t>Bundesgericht (BGE), 2004-04-08, DE</w:t>
      </w:r>
    </w:p>
    <w:p>
      <w:r>
        <w:rPr>
          <w:b/>
        </w:rPr>
        <w:t xml:space="preserve">Quelle: </w:t>
      </w:r>
      <w:r>
        <w:t>https://mcp.opencaselaw.ch/entscheid/bge_BGE_130_III_495</w:t>
      </w:r>
    </w:p>
    <w:p>
      <w:r>
        <w:t>FR: ATF 130 III 495</w:t>
      </w:r>
    </w:p>
    <w:p>
      <w:r>
        <w:t>IT: DTF 130 III 495</w:t>
      </w:r>
    </w:p>
    <w:p>
      <w:pPr>
        <w:pStyle w:val="Heading2"/>
      </w:pPr>
      <w:r>
        <w:t>Regeste</w:t>
      </w:r>
    </w:p>
    <w:p>
      <w:r>
        <w:t>Regeste Verträge der Mitarbeiterbeteiligung; Mitarbeiteroption; Arbeitnehmerschutz; Art. 19 Abs. 2 und Art. 20 Abs. 1 OR; Art. 27 Abs. 2 ZGB. Durch Verträge der Mitarbeiterbeteiligung dürfen die zwingenden Vorschriften des Arbeitsrechts nicht unterlaufen werden. Der Arbeitnehmerschutz entfällt, wenn der Arbeitnehmer beim Erwerb der Mitarbeiterbeteiligung als Anleger handelt, der das mit der Anlage verbundene Risiko aus freien Stücken akzeptiert. Ob die Beteiligung sich als Bestandteil des Arbeitsvertrags oder als davon losgelöste Investition ausnimmt, ist aufgrund der Verhältnisse im Einzelfall zu beurteilen. Anwendung der zwingenden Vorschriften des Arbeitsrechts im vorliegenden Fall verneint (E. 3 und 4). Sittenwidrigkeit eines Mitarbeiterbeteiligungsvertrags, wonach Optionen erst fünf Jahre nach deren Erwerb ausgeübt werden können, verneint (E. 5). Verwirkung der Optionsrechte bei Auflösung des Arbeitsverhältnisses vor dem vertraglich vereinbarten Verfalltag zur Ausübung der Optionen (E. 6).</w:t>
      </w:r>
    </w:p>
    <w:p>
      <w:r>
        <w:t>Regeste Plans d'intéressement; option de collaborateur; protection du travailleur; art. 19 al. 2 et art. 20 al. 1 CO; art. 27 al. 2 CC. Les plans d'intéressement ne doivent pas éluder les dispositions impératives du droit du travail. La protection du travailleur tombe lorsque l'employé agit, en acquérant une participation de collaborateur, comme un investisseur qui accepte de son plein gré le risque lié au placement. Savoir si la participation se présente comme une partie intégrante du contrat de travail, ou comme un investissement distinct de celui-ci, se juge selon les circonstances du cas particulier. Application des dispositions impératives du droit du travail niée en l'espèce (consid. 3 et 4). Un plan d'intéressement selon lequel des options ne peuvent être exercées que cinq ans après leur acquisition n'est pas contraire aux moeurs (consid. 5). Péremption des droits d'option en cas de résiliation des rapports de travail avant l'échéance contractuellement convenue pour l'exercice des options (consid. 6).</w:t>
      </w:r>
    </w:p>
    <w:p>
      <w:r>
        <w:t>Regesto Stock option plans; opzioni per i collaboratori; protezione dei lavoratori; art. 19 cpv. 2 e art. 20 cpv. 1 CO; art. 27 cpv. 2 CC. I piani concernenti la distribuzione, ai collaboratori, di opzioni su azioni della società (stock option plans) non possono eludere le norme imperative del diritto del lavoro. La protezione del lavoratore viene a cadere quando, nell'ambito dell'acquisizione della partecipazione, egli agisce alla stregua di un investitore, che accetta consapevolmente il rischio connesso all'investimento. La questione di sapere se la partecipazione configura una parte integrante del contratto di lavoro oppure un investimento distinto va giudicata sulla base delle circostanze del caso specifico. In concreto, l'applicazione delle disposizioni imperative del diritto del lavoro è stata negata (consid. 3 e 4). Uno stock option plan che prevede la possibilità di esercitare le opzioni solamente cinque anni dopo il loro acquisto non è contrario ai buoni costumi (consid. 5). Perenzione dei diritti d'opzione qualora il rapporto di lavoro venga sciolto prima della scadenza pattuita contrattualmente per l'esercizio delle opzioni (consid. 6).</w:t>
      </w:r>
    </w:p>
    <w:p>
      <w:pPr>
        <w:pStyle w:val="Heading2"/>
      </w:pPr>
      <w:r>
        <w:t>Erwägungen</w:t>
      </w:r>
    </w:p>
    <w:p>
      <w:r>
        <w:rPr>
          <w:b/>
        </w:rPr>
        <w:t>E. 3</w:t>
      </w:r>
    </w:p>
    <w:p>
      <w:r>
        <w:t>Mit der Berufung macht der Kläger geltend, die streitigen Klauseln seien rechts- und sittenwidrig im Sinne von Art. 19 Abs. 2 und Art. 20 Abs. 1 OR . Die stipulierte Bedingung für die Ausübung der Optionsrechte, der Bestand eines ungekündigten Arbeitsverhältnisses zwischen dem Berechtigten und einer der X. Gesellschaften, führe zu ungleichen Kündigungsfristen in jenem Arbeitsverhältnis, auf welches in den Verträgen Bezug genommen werde. Aus wirtschaftlichen Gründen sei der Arbeitnehmer faktisch auf mehrere Jahre gebunden, wogegen für die Beklagte geradezu ein Anreiz bestehe, auf die von ihr kontrollierte Arbeitgeberin des Berechtigten hinzuwirken, damit diese das Arbeitsverhältnis vorzeitig beende. Darin liege eine Umgehung von Art. 335a OR , mithin eine Rechts- und Sittenwidrigkeit ( Art. 19 Abs. 2, Art. 20 Abs. 1 OR ), was die Vorinstanz missachtet und dadurch gegen die genannte zwingende Bestimmung verstossen habe. Nach Auffassung des Klägers ist die Vorinstanz ferner zu Unrecht nicht darauf eingegangen, dass die in Ziffer 4 der beiden Verträge aufgenommene Regelung gegen das so genannte "Truck-Verbot" verstosse, weil der Kläger die Beteiligungsrechte, welche systemimmanent mit dem Arbeitsverhältnis verknüpft gewesen seien, nicht etwa unentgeltlich erhalten habe, sondern von der Beklagten käuflich habe erwerben müssen. Die Auslegung von Ziffer 4 der Beteiligungsverträge durch die Vorinstanz habe zudem das Recht des Klägers auf Kündigung aus wichtigem Grund im Sinne des zwingenden Art. 337 Abs. 1 OR eingeschränkt, was die Vorinstanz von Amtes wegen hätte berücksichtigen müssen.</w:t>
      </w:r>
    </w:p>
    <w:p>
      <w:r>
        <w:rPr>
          <w:b/>
        </w:rPr>
        <w:t>E. 4.1</w:t>
      </w:r>
    </w:p>
    <w:p>
      <w:r>
        <w:t>Zunächst ist festzuhalten, dass die Beklagte, welche mit dem Kläger die Beteiligungsverträge geschlossen hat, nicht die Arbeitgeberin des Klägers war, sondern deren Muttergesellschaft, wie die Vorinstanz zutreffend hervorhob. Andererseits ist den Verträgen die Besonderheit eigen, dass die übertragenen Optionen an das Arbeitsverhältnis zwischen dem Kläger und der Tochtergesellschaft der Beklagten gekoppelt und durch dessen Bestand bedingt sind. Damit charakterisieren sie sich als Verträge zur Mitarbeiterbeteiligung (plan d'intéressement, stock option plan), indem sie dem Arbeitnehmer die Möglichkeit eröffnen, sich am Erfolg des BGE 130 III 495 S. 500 Unternehmens bzw. der Unternehmensgruppe, zu welcher die Arbeitgeberin gehört, zu beteiligen. Dabei trägt der Arbeitnehmer auch das Risiko einer Wertverminderung (MANFRED REHBINDER, Schweizerisches Arbeitsrecht, 15. Aufl., Bern 2002, Rz. 174). Die Statuten können die Einräumung von Optionen an einen bestimmten Kreis von Arbeitnehmern zum Bezug (call options) oder zur Veräusserung (put options) einer bestimmten Anzahl von Aktien der Arbeit gebenden oder einer dieser nahe stehenden Gesellschaft zu im Voraus festgelegten Bedingungen ( Art. 653b Abs. 1 Ziff. 3 OR ) während einer bestimmten Frist vorsehen. Die zur Ausübung der Optionen erforderlichen Aktien können - für die Gesellschaft kostenneutral - im Verfahren der bedingten Kapitalerhöhung nach Art. 653 OR unter Ausschluss der Bezugsrechte der Aktionäre ( Art. 652b Abs. 2 OR ) bereitgestellt werden (PETER R. ISLER/GAUDENZ G. ZINDEL, Basler Kommentar, 2. Aufl., N. 15 f. zu Art. 653 OR ; PETER BÖCKLI, Schweizer Aktienrecht, 2. Aufl., Zürich 1996, Rz. 450; BGE 121 III 219 E. 5 S. 239 ff. betreffend BK Vision AG). Mit der Mitarbeiterbeteiligung werden mehrere Zwecke verfolgt: Erhöhung der Attraktivität der Gesellschaft als Arbeitgeberin für hoch qualifizierte Arbeitskräfte; Motivation der Mitarbeitenden, indem diese von dem durch sie geschaffenen Wert profitieren können; Bindung des Kaders an die Gesellschaft, jedenfalls bis zum Zeitpunkt der Ausübung der Option; Gleichschaltung der Ziele der Angestellten, der Aktionäre und des Managements (ANDREAS VON Planta, Les plans d'intéressement - Aspects du droit commercial, in: Grégoire Bovet [Hrsg.], Les plans d'intéressement - Stock Option Plans, Lausanne 2001, S. 43; HANS-JOACHIM JAEGER, Economic Aspects of Granting Employee Stock Options in Switzerland, in: Bovet [Hrsg.], a.a.O., S. 13; ANDREAS RISI, Besteuerung von Mitarbeiterbeteiligungen - der Bericht der gemischten Arbeitsgruppe, in: IFF Forum für Steuerrecht 2002, S. 214; CHRISTOF HELBLING, Mitarbeiteraktien und Mitarbeiteroptionen in der Schweiz, 2. Aufl., Zürich 2003, S. 45; BEAT WALTI, Mitarbeiterbeteiligung, Diss. Zürich 1997, S. 17 ff.). Die Ausgestaltung im Einzelnen ist weitgehend den Gesellschaften überlassen und wird von den jeweils vorrangig verfolgten Zwecken geleitet. So kann die Option entgeltlich, vergünstigt oder unentgeltlich eingeräumt werden, bis zu einem bestimmten Verfalltag (American style option) oder nur an einem bestimmten Verfalltag (European style option) zur Ausübung berechtigen oder die Laufzeit kann mit einer Sperrfrist versehen BGE 130 III 495 S. 501 sein. Das Aufleben des Rechts zum Bezug (gegebenenfalls zum Verkauf) der Aktien wird gemeinhin als "vesting" bezeichnet (VON PLANTA, a.a.O., S. 47; HELBLING, a.a.O., S. 162).</w:t>
      </w:r>
    </w:p>
    <w:p>
      <w:r>
        <w:rPr>
          <w:b/>
        </w:rPr>
        <w:t>E. 4.2.1</w:t>
      </w:r>
    </w:p>
    <w:p>
      <w:r>
        <w:t>Endet das Arbeitsverhältnis vor dem vereinbarten Datum für die Ausübung, kann die Option entschädigungslos verfallen (HELBLING, a.a.O., S. 15 f. und 161 f.). Daraus können sich aus arbeitsrechtlicher Sicht Probleme ergeben, namentlich dann, wenn die Aktien oder Optionen gratis oder unter dem Marktwert abgegeben wurden und Lohnbestandteil bilden (RÉMY WYLER, Droit du travail, Bern 2002, S. 626). In dieser Hinsicht kommt es nicht darauf an, wie das in Frage stehende Mitarbeiterbeteiligungsmodell gestaltet ist, ob die Mitarbeitenden an der Arbeitgebergesellschaft selbst, an einer mit dieser im gleichen Konzern verbundenen anderen, an einer eigens für die Beteiligung geschaffenen oder an der Muttergesellschaft beteiligt wurden. Steht die Arbeitgeberin wie vorliegend zu 100 % im Besitz einer Holding, bleibt für eine Beteiligung an dieser selbst kein Raum und drängt sich ein Modell unter Vergabe von Anrechten an der börsenkotierten Holding auf (vgl. zum Ganzen HELBLING, a.a.O., S. 253 ff.). Dass auch bei einer derartigen Konstellation die zwingenden Vorschriften des Arbeitsrechts (Art. 361 f. OR) nicht unterlaufen werden dürfen, versteht sich von selbst. Wenn die Vorinstanz erklärt, im Verhältnis zur Beklagten, der Muttergesellschaft der Arbeitgeberin, kämen arbeitsrechtliche Bestimmungen von vornherein nicht zur Anwendung, erscheint dies angesichts des engen Bezugs zwischen den Optionsverträgen und dem Arbeitsverhältnis in dieser apodiktischen Formulierung zwar fragwürdig, unter den konkreten Umständen im Ergebnis jedoch zutreffend, wie nachstehend zu zeigen ist.</w:t>
      </w:r>
    </w:p>
    <w:p>
      <w:r>
        <w:rPr>
          <w:b/>
        </w:rPr>
        <w:t>E. 4.2.2</w:t>
      </w:r>
    </w:p>
    <w:p>
      <w:r>
        <w:t>Wie WYLER, a.a.O., S. 629 f., zutreffend anführt, entfällt der Arbeitnehmerschutz, wenn der Arbeitnehmer beim Erwerb der Mitarbeiterbeteiligung vornehmlich als Anleger handelt, der das mit der Anlage verbundene Risiko in der Erwartung eines hohen Kapitalgewinns aus freien Stücken akzeptiert. Das kann auch der Fall sein, wenn sich die Beteiligung bei einem hoch dotierten Kader oder Angestellten als Bonus und damit als Gegenleistung für seine Tätigkeit darstellt. Diesfalls gelten die Bestimmungen der Beteiligungsvereinbarung ohne Rücksicht auf zwingende Vorschriften des Arbeitsrechts. Ob die Beteiligung sich als Bestandteil des Arbeitsvertrages oder als davon losgelöste Investition ausnimmt, ist BGE 130 III 495 S. 502 stets aufgrund der Verhältnisse des Einzelfalles zu beurteilen. Dabei erscheint insbesondere wesentlich, ob Beteiligungen bzw. Optionen Lohnbestandteil bilden, was sich aus verschiedenen Indizien ergeben kann.</w:t>
      </w:r>
    </w:p>
    <w:p>
      <w:r>
        <w:rPr>
          <w:b/>
        </w:rPr>
        <w:t>E. 4.2.3</w:t>
      </w:r>
    </w:p>
    <w:p>
      <w:r>
        <w:t>Der Kläger hat die streitigen Optionen käuflich erworben und dafür einen Preis bezahlt, den er selbst nicht als besonders vorteilhaft ausgibt. Vielmehr ging er mit den Investitionen in die Optionen ein unternehmerisches Risiko ein, weil er die erfolgreiche Zukunft der Beklagten vor Augen hatte, wie er im kantonalen Verfahren dargelegt hat. Die zugeteilten Optionen stellen somit keinen Lohnbestandteil dar, was gegen die Anwendung der arbeitsrechtlichen Schutzvorschriften spricht. Hinzu kommt, dass der Kläger bei Abschluss des Beteiligungsvertrages vom 29. Mai 1995 bereits vom Prokuristen zum Leiter der Abteilung "Investment Research" befördert worden war und ein Jahresgehalt von Fr. 90'000.- bezog, bei Abschluss des Optionsvertrages vom 30. Juli 1997 im Alter von dreissig Jahren ein solches von Fr. 150'000.-, was der Stellung eines gut bezahlten höheren Angestellten entspricht. Sodann ist davon auszugehen, dass der Abschluss der Verträge seinem freien Willen entsprang. Aufgrund seiner Kenntnisse als Investitionsfachmann erwartete er einen hohen Gewinn unter Begrenzung des maximalen Verlustes auf den eingesetzten Kaufpreis. Die für die Optionen geleisteten Zahlungen charakterisieren sich damit klar als auf einem Anlageentscheid beruhende Investition, die dem Kläger aufgrund seiner Anstellung bei einer dem beklagtischen Konzern angehörenden Gesellschaft ermöglicht wurde. Dem Kläger bleibt aus den dargelegten Gründen insoweit die Anrufung der zwingenden arbeitsrechtlichen Schutzvorschriften und der aus deren Verletzung abgeleiteten Sittenwidrigkeit verwehrt.</w:t>
      </w:r>
    </w:p>
    <w:p>
      <w:r>
        <w:rPr>
          <w:b/>
        </w:rPr>
        <w:t>E. 4.2.4</w:t>
      </w:r>
    </w:p>
    <w:p>
      <w:r>
        <w:t>Mit Bezug auf den Einwand des Klägers, die streitige Klausel in den Verträgen beraube ihn wegen der negativen wirtschaftlichen Konsequenzen seines Rechts auf Kündigung aus wichtigem Grund ( Art. 337 Abs. 1 OR ), ist anzufügen, dass dem Kläger unbenommen bliebe, für seinen wegen der vorzeitigen Beendigung des Arbeitsverhältnisses entstandenen Schaden von seiner früheren Arbeitgeberin vollen Ersatz zu fordern, sollte diese durch eine schuldhafte Vertragsverletzung den Kündigungsgrund gesetzt haben ( Art. 337b Abs. 1 OR ). Gegebenenfalls stünde ihm eine Entschädigung nach richterlichem Ermessen zu ( Art. 337b Abs. 2 OR ). Jedenfalls hätte die Liquidation des Schadens im Verhältnis zur BGE 130 III 495 S. 503 Arbeitgeberin, die den Schaden verursacht hat, zu erfolgen, und nicht im Verhältnis zur übergeordneten Konzerngesellschaft. Im vorliegenden Verfahren sind daher die vom Kläger ausführlich dargestellten Gründe dessen Austritts aus der X. Bank AG nicht rechtserheblich. Für einen Durchgriff auf die Muttergesellschaft, wie er dem Kläger in diesem Zusammenhang vorschwebt, bleibt kein Raum, ist dazu doch mehr erforderlich als der blosse Umstand, dass B. sowohl bei der Beklagten als auch bei der X. Bank AG Organstellung zukommt. Dass eine Berufung der Beklagten auf die rechtliche Selbständigkeit der X. Bank AG in dieser Hinsicht missbräuchlich wäre, zeigt der Kläger nicht auf und ist nicht ersichtlich (PETER FORSTMOSER/ARTHUR MEIER-HAYOZ/PETER NOBEL, Schweizerisches Aktienrecht, Bern 1996, § 62 Rz. 51 f.; ROLAND VON BÜREN, Der Konzern, Schweizerisches Privatrecht, Bd. VIII/6, Basel 1997, S. 171 ff.; vgl. auch THOMAS GEISER/KAI-PETER UHLIG, Arbeitsverhältnisse im Konzern, in: ZBJV 139/2003 S. 789 ff.). Deshalb haftet die Beklagte auch nicht für allfällige Verletzungen der Fürsorgepflicht der Arbeitgeberin des Klägers nach Art. 328 OR . Ebenso wenig kann vor diesem Hintergrund im Ernst davon die Rede sein, die umstrittene Regelung habe zu einer sittenwidrigen Konventionalstrafe geführt. Nicht zu prüfen - da ohne Bezug zum vorliegenden Fall - ist schliesslich die vom Kläger aufgeworfene Frage, welche Regelung Platz greifen müsste, sofern die X. Bank AG dem Beklagten grundlos gekündigt hätte.</w:t>
      </w:r>
    </w:p>
    <w:p>
      <w:r>
        <w:rPr>
          <w:b/>
        </w:rPr>
        <w:t>E. 5</w:t>
      </w:r>
    </w:p>
    <w:p>
      <w:r>
        <w:t>Der Kläger leitet die behauptete Sittenwidrigkeit der streitigen Klauseln auch aus Art. 27 Abs. 2 ZGB ab, welcher vor rechtsgeschäftlichen Bindungen schützt, die gegen das in Art. 19 Abs. 2 OR enthaltene Recht der Persönlichkeit verstossen (CLAIRE HUGUENIN, Basler Kommentar, 2. Aufl., N. 8 f. zu Art. 27 ZGB ; ERNST A. KRAMER, Berner Kommentar, N. 208 zu Art. 19-20 OR ). Zur Begründung weist der Kläger einzig darauf hin, dass die Optionen erst fünf Jahre nach deren Erwerb ausübbar waren. Wie dargelegt (E. 4.1 hiervor) besteht einer der mit der Abgabe von Mitarbeiteroptionen verfolgten Zwecke gerade darin, das Arbeitsverhältnis auf eine gewisse Dauer zu stabilisieren. Den Mitarbeitenden verschaffen zeitlich limitierte Verfügungssperren zudem steuerliche Vorteile. In der Lehre wird denn auch erst bei Verfügungssperren von mehr als zwei bis fünf Jahren von "goldenen Fesseln" der Mitarbeiter gesprochen (WALTI, a.a.O., S. 83, mit Hinweisen). Nach der Art. 334 Abs. 3 OR zugrunde liegenden Wertung verletzt erst ein auf mehr BGE 130 III 495 S. 504 als zehn Jahre abgeschlossener Arbeitsvertrag die persönliche Freiheit im Sinne von Art. 27 ZGB (MANFRED REHBINDER/WOLFGANG PORTMANN, Basler Kommentar, 3. Aufl., N. 9 zu Art. 334 OR ). Von der in begründeter Erwartung eines hohen Gewinns freiwillig auf fünf Jahre eingegangenen Bindung des Klägers lässt sich demnach nicht sagen, sie überschreite jedes zulässige Mass, zumal der Kläger aus mehrjähriger Erfahrung die Perspektiven eines fünfjährigen Verbleibens bei der X. Bank AG abzuschätzen in der Lage war (allgemein zu den Beurteilungskriterien vgl. HUGUENIN, a.a.O., N. 10 und 15 zu Art. 27 ZGB , mit Hinweisen). Ein Verstoss gegen die guten Sitten ( Art. 19 Abs. 2, Art. 20 Abs. 1 OR ) ist nicht gegeben.</w:t>
      </w:r>
    </w:p>
    <w:p>
      <w:r>
        <w:rPr>
          <w:b/>
        </w:rPr>
        <w:t>E. 6</w:t>
      </w:r>
    </w:p>
    <w:p>
      <w:r>
        <w:t>Nach dem diesbezüglich unangefochtenen erstinstanzlichen Urteil, auf welches die Vorinstanz verweist, führt eine Auslegung von Ziffer 4 der Verträge nach dem Vertrauensprinzip zum Ergebnis, dass die Optionen entschädigungslos verfallen, wenn der Kläger vor dem Verfalltag aus dem Arbeitsverhältnis ausscheidet. Ausnahmen sind nur bei gesundheitlichen Problemen oder im Todesfall vorgesehen. Diese Regelung hat sich nach dem Gesagten weder als gesetzes- noch als sittenwidrig erwiesen und ist umzusetzen. Da der Kläger unstreitig vor den in den Verträgen festgesetzten Verfalltagen aus der X. Gruppe ausgeschieden war, hat er seine Optionsrechte verwirkt. Die gegenüber der Beklagten erhobenen Schadenersatzansprüche sind unbegründet. Die Berufung ist unter Kosten- und Entschädigungsfolgen zu Lasten des Klägers abzuweisen (Art. 156 Abs. 1 und 159 Abs. 1 und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