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489</w:t>
      </w:r>
    </w:p>
    <w:p>
      <w:r>
        <w:t>Bundesgericht (BGE), 1973-10-02, DE</w:t>
      </w:r>
    </w:p>
    <w:p>
      <w:r>
        <w:rPr>
          <w:b/>
        </w:rPr>
        <w:t xml:space="preserve">Quelle: </w:t>
      </w:r>
      <w:r>
        <w:t>https://mcp.opencaselaw.ch/entscheid/bge_BGE_130_III_489</w:t>
      </w:r>
    </w:p>
    <w:p>
      <w:r>
        <w:t>FR: ATF 130 III 489</w:t>
      </w:r>
    </w:p>
    <w:p>
      <w:r>
        <w:t>IT: DTF 130 III 489</w:t>
      </w:r>
    </w:p>
    <w:p>
      <w:pPr>
        <w:pStyle w:val="Heading2"/>
      </w:pPr>
      <w:r>
        <w:t>Regeste</w:t>
      </w:r>
    </w:p>
    <w:p>
      <w:r>
        <w:t>Regeste Anweisung an die Schuldner im internationalen Verhältnis (Art. 137 Abs. 2 i.V.m. Art. 177 ZGB; Art. 10 des Haager Übereinkommens über das auf Unterhaltspflichten anzuwendende Recht vom 2. Oktober 1973). Die Anweisung an die Schuldner stellt keine Zivilsache im Sinne von Art. 68 OG dar, weshalb die Nichtigkeitsbeschwerde ausgeschlossen und einzig die staatsrechtliche Beschwerde gemäss Art. 84 ff. OG zulässig ist (Bestätigung der Rechtsprechung; E. 1). Die Anweisung an die Schuldner stellt eine besondere familienrechtliche Sanktion bei Nichterfüllung der Unterhaltspflicht dar und untersteht daher nicht dem Statut der Unterhaltsforderung (E. 2).</w:t>
      </w:r>
    </w:p>
    <w:p>
      <w:r>
        <w:t>Regeste Avis aux débiteurs dans les rapports internationaux (art. 137 al. 2 en relation avec l'art. 177 CC; art. 10 de la Convention de La Haye sur la loi applicable aux obligations alimentaires du 2 octobre 1973). La décision relative à l'avis aux débiteurs ne tranche pas une affaire civile au sens de l'art. 68 OJ, de sorte qu'elle ne peut faire l'objet d'un recours en nullité, mais uniquement d'un recours de droit public selon les art. 84 ss OJ (confirmation de la jurisprudence; consid. 1). L'avis aux débiteurs constitue une sanction particulière du droit de la famille en raison de l'inexécution de l'obligation d'entretien et, partant, ne relève pas du statut de la créance alimentaire (consid. 2).</w:t>
      </w:r>
    </w:p>
    <w:p>
      <w:r>
        <w:t>Regesto Diffida ai debitori nei rapporti internazionali (art. 137 cpv. 2 in relazione con l'art. 177 CC; art. 10 della Convenzione dell'Aia sulla legge applicabile alle obbligazioni alimentari del 2 ottobre 1973). La diffida ai debitori non costituisce un procedimento civile nel senso dell'art. 68 OG, motivo per cui il ricorso per nullità è escluso ed è unicamente ammissibile il ricorso di diritto pubblico giusta gli art. 84 segg. OG (conferma della giurisprudenza; consid. 1). La diffida ai debitori costituisce una particolare sanzione del diritto di famiglia nel caso di non adempimento dell'obbligo di mantenimento e non soggiace quindi allo statuto della pretesa di mantenimento (consid. 2).</w:t>
      </w:r>
    </w:p>
    <w:p>
      <w:pPr>
        <w:pStyle w:val="Heading2"/>
      </w:pPr>
      <w:r>
        <w:t>Erwägungen</w:t>
      </w:r>
    </w:p>
    <w:p>
      <w:r>
        <w:rPr>
          <w:b/>
        </w:rPr>
        <w:t>E. 1.1</w:t>
      </w:r>
    </w:p>
    <w:p>
      <w:r>
        <w:t>Die vorliegende Nichtigkeitsbeschwerde zielt einzig auf die vom Obergericht bestätigte Anweisung an die Pensionskasse des Beschwerdeführers, den der Beschwerdegegnerin zugesprochenen Unterhaltsanspruch direkt an diese zu leisten. Der Beschwerdeführer beruft sich auf die Nichtigkeitsgründe nach Art. 68 Abs. 1 lit. b und c OG und rügt, entgegen der Auffassung des Obergerichts sei auf die Schuldneranweisung nicht schweizerisches Recht, sondern wie auf das Unterhaltsrecht ebenfalls slowenisches Recht anwendbar.</w:t>
      </w:r>
    </w:p>
    <w:p>
      <w:r>
        <w:rPr>
          <w:b/>
        </w:rPr>
        <w:t>E. 1.2</w:t>
      </w:r>
    </w:p>
    <w:p>
      <w:r>
        <w:t>Gemäss BGE 110 II 9 gilt die richterliche Anweisung gemäss ZGB an den Schuldner des Unterhaltspflichtigen als privilegierte Zwangsvollstreckungsmassnahme sui generis, so dass mangels Vorliegen einer Zivilsache sowohl die Berufung ( Art. 43 ff. OG ) als auch die Nichtigkeitsbeschwerde ( Art. 68 ff. OG ) ausgeschlossen sind ( BGE 110 II 9 E. 2 S. 14; vgl. Urteil 5C.243/1990 vom 5. März 1991, SJ 1991 S. 457, E. 4c).</w:t>
      </w:r>
    </w:p>
    <w:p>
      <w:r>
        <w:rPr>
          <w:b/>
        </w:rPr>
        <w:t>E. 1.3</w:t>
      </w:r>
    </w:p>
    <w:p>
      <w:r>
        <w:t>Die Meinungen über die Rechtsnatur der Schuldneranweisung gehen in der Literatur allerdings auseinander. Während ein Teil der Lehre die Praxis gemäss BGE 110 II 9 bestätigt (DESCHENAUX/ STEINAUER/BADDELEY, Les effets du mariage, Bern 2000, S. 296 Rz. 705; BRÄM/HASENBÖHLER, Zürcher Kommentar, N. 3 zu Art. 177 ZGB ), bezeichnen andere Autoren die Schuldneranweisung nach Art. 177 ZGB (bzw. Art. 132 ZGB sowie Art. 291 ZGB ) als ein besonderes familienrechtliches Institut des ZGB zur erleichterten Durchsetzung von Unterhaltsansprüchen, welche als Zivilsache zu behandeln sei (HAUSHEER/GEISER/REUSSER, Berner Kommentar, N. 18 BGE 130 III 489 S. 492 und 19 zu Art. 177 ZGB ; SCHWANDER, Basler Kommentar, Zivilgesetzbuch I, 2. Aufl., 2002, N. 3 zu Art. 177 ZGB ; SANDOZ, L'avis aux créanciers des art. 171 [177 nCC] et 291 CC est-il une mesure d'exécution forcée?, BlSchK 1988 S. 86/87; VOGEL, Die Rechtsprechung des Bundesgerichts im Jahre 1984, ZBJV 122/1986 S. 498 Ziff. 5; BREITSCHMID, Basler Kommentar, Zivilgesetzbuch I, 2. Aufl., 2002, N. 5 zu Art. 291 ZGB ; HEGNAUER, Berner Kommentar, N. 13 zu Art. 291 ZGB ; SUTTER/FREIBURGHAUS, Kommentar zum neuen Scheidungsrecht, N. 13 und 25 zu Art. 132 ZGB ). Im Urteil 5C.105/2000 vom 9. Juni 2000 (E. 2) sind die Standpunkte der Lehre dargestellt worden, wobei sich damals mit Blick auf das Ergebnis eine Auseinandersetzung erübrigt hatte. Während im Urteil 5P.276/2001 vom 1. November 2001 (E. 1a) die Praxis gemäss BGE 110 II 9 ohne weitere Ausführungen bestätigt wurde, ist in anderen Urteilen (5P.193/2003 vom 23. Juli 2003, E. 1.2; 5P.205/2003 vom 11. September 2003, E. 1.1; 5P.210/2003 vom 11. September 2003, E. 1) die Frage der Rechtsnatur unter Hinweis auf die Kritik in der Literatur offen gelassen worden. Die Auffassung, dass es sich bei der Anweisung um eine zivilrechtliche Massnahme und eine Zivilsache im Sinne des OG handelt, ist wohl vertretbar. Doch rechtfertigt sich namentlich auch mit Blick auf die Rechtssicherheit keine Praxisänderung, weshalb die Nichtigkeitsbeschwerde unzulässig ist.</w:t>
      </w:r>
    </w:p>
    <w:p>
      <w:r>
        <w:rPr>
          <w:b/>
        </w:rPr>
        <w:t>E. 1.4</w:t>
      </w:r>
    </w:p>
    <w:p>
      <w:r>
        <w:t>Der Beschwerdeführer rügt in seiner Eingabe keine Verletzung von verfassungsmässigen Rechten (vgl. Art. 84 Abs. 1 lit. a OG ), sondern macht insbesondere eine Verletzung des Haager Übereinkommens über das auf Unterhaltspflichten anzuwendende Recht vom 2. Oktober 1973 (SR 0.211.213.01; nachstehend: UStÜ) geltend. Im vorliegenden Fall erscheint daher gerechtfertigt, die Eingabe als staatsrechtliche Beschwerde gestützt auf Art. 84 Abs. 1 lit. c OG entgegenzunehmen (vgl. BGE 126 III 534 E. 1a S. 536), wobei das Bundesgericht insoweit freie Kognition hat (vgl. BGE 125 III 451 E. 3b S. 455).</w:t>
      </w:r>
    </w:p>
    <w:p>
      <w:r>
        <w:rPr>
          <w:b/>
        </w:rPr>
        <w:t>E. 2</w:t>
      </w:r>
    </w:p>
    <w:p>
      <w:r>
        <w:t>Das Obergericht hat im Wesentlichen erwogen, auf die vorsorgliche Regelung des Unterhalts im Rahmen des Verfahrens zur Ergänzung des slowenischen Scheidungsurteils sei gestützt auf Art. 8 UStÜ das slowenische Recht anwendbar. Hingegen hat es für die Frage der Anweisung an den Schuldner des Beschwerdeführers nicht das UStÜ, sondern gestützt auf Art. 62 Abs. 2 IPRG das schweizerische Recht als massgebend und die Voraussetzungen für BGE 130 III 489 S. 493 die entsprechende richterliche Anordnung nach Art. 137 i.V.m. Art. 177 ZGB als erfüllt erachtet.</w:t>
      </w:r>
    </w:p>
    <w:p>
      <w:r>
        <w:rPr>
          <w:b/>
        </w:rPr>
        <w:t>E. 2.1</w:t>
      </w:r>
    </w:p>
    <w:p>
      <w:r>
        <w:t>Im angefochtenen Entscheid wird zu Recht angenommen, dass ein internationales Verhältnis im Sinne von Art. 1 Abs. 1 IPRG vorliegt. Dass die eherechtliche Anweisung als privilegierte Zwangsvollstreckungsmassnahme sui generis nach BGE 110 II 9 keine Zivilsache im Sinne des OG ist, schliesst die Anwendbarkeit des IPRG nicht aus (vgl. BGE 118 Ia 118 ). Die gesetzliche Grundlage der durch das besondere Rechtsverhältnis der Ehegatten gerechtfertigten Schuldneranweisung findet sich im Rahmen der Scheidung in den Art. 132 Abs. 1 und Art. 137 Abs. 2 ZGB (SUTTER/ FREIBURGHAUS, a.a.O., N. 5 und 30 zu Art. 137 ZGB ). Da der vorliegende Sachverhalt mehrere Rechtsordnungen berührt, also nicht klar ist, dass das ZGB als einzig mögliche Rechtsgrundlage für die rechtliche Beurteilung der Massnahme in Frage kommt, sind die Regeln des schweizerischen internationalen Privatrechts massgebend (SIEHR, Das internationale Privatrecht der Schweiz, S. 2).</w:t>
      </w:r>
    </w:p>
    <w:p>
      <w:r>
        <w:rPr>
          <w:b/>
        </w:rPr>
        <w:t>E. 2.2</w:t>
      </w:r>
    </w:p>
    <w:p>
      <w:r>
        <w:t>Der Beschwerdeführer rügt nicht, dass das Obergericht im hängigen Prozess um Ergänzung des slowenischen Ehescheidungsurteils nicht zuständig sei, vorsorgliche Massnahmen einschliesslich der Schuldneranweisung zu treffen. Ebenso wenig stellt er in Frage, dass für das anwendbare Recht, das auf die Nebenwirkungen einer im Ausland geschiedenen Ehe anwendbar ist, die im IPRG vorbehaltenen staatsvertraglichen Regelungen gelten ( Art. 1 Abs. 2, Art. 64 Abs. 2, Art. 62 Abs. 3 IPRG ) und für die Unterhaltspflichten zwischen geschiedenen Ehegatten gemäss Art. 8 UStÜ das auf die Ehescheidung angewendete Recht massgebend ist (vgl. SIEHR, Basler Kommentar, Internationales Privatrecht, N. 4 zu Art. 64 IPRG ; VOLKEN, Zürcher Kommentar zum IPRG, 2. Aufl., 2004, N. 29 zu Art. 62 IPRG ). Der Beschwerdeführer wendet sich im Wesentlichen gegen die Auffassung des Obergerichts, dass die Schuldneranweisung nicht vom Anwendungsbereich des nach dem Art. 8 UStÜ massgebenden Unterhaltsstatuts erfasst sei. Er macht unter Hinweis auf Art. 10 UStÜ geltend, auch die Schuldneranweisung richte sich nach dem Unterhaltsstatut, so dass slowenisches Recht auch für die Frage der Schuldneranweisung massgebend sei.</w:t>
      </w:r>
    </w:p>
    <w:p>
      <w:r>
        <w:rPr>
          <w:b/>
        </w:rPr>
        <w:t>E. 2.3</w:t>
      </w:r>
    </w:p>
    <w:p>
      <w:r>
        <w:t>Nach Art. 10 UStÜ bestimmt das auf eine Unterhaltspflicht anzuwendende Recht insbesondere, ob, in welchem Ausmass und von wem der Berechtigte Unterhalt verlangen kann (Ziff. 1), wer zur BGE 130 III 489 S. 494 Einleitung des Unterhaltsverfahrens berechtigt ist und welche Fristen für die Einleitung gelten (Ziff. 2), und das Ausmass der Erstattungspflicht im Falle des Unterhaltsvorschusses durch öffentliche Aufgaben wahrnehmende Einrichtungen (Ziff. 3). Diese Bestimmung nennt besonders wichtige Gegenstände, die jedenfalls unterhaltsrechtlich zu qualifizieren sind (VON STAUDINGER/MANKOWSKI, Einführungsgesetz zum Bürgerlichen Gesetzbuche/IPR, Berlin 2003, N. 315 in Anhang I zu Art. 18 EGBGB). Über diese Aufzählung hinaus unterliegen dem Unterhaltsstatut alle Fragen im Zusammenhang mit der Erfüllung der Forderung (wie Gegenrechte, Einreden, materielle Verteidigungsmittel des Schuldners, Verzicht, Erlass und Abfindung sowie die Verrechnung mit der Unterhaltsforderung) sowie - bei Nichterfüllung der Forderung - die allgemeinen Rechtsfolgen wie Verzug, Ansprüche für Verzugszinsen und Schadenersatz (VON STAUDINGER/MANKOWSKI, a.a.O., N. 317 ff. und 379 ff. in Anhang I zu Art. 18 EGBGB, N. 40 in Anhang II zu Art. 18 EGBGB). Dies liegt im Zweck von Art. 10 UStÜ, vorab zu präzisieren, dass das anwendbare Recht die Existenz, Höhe und Modalitäten der Unterhaltsforderung bestimmen soll (VERWILGHEN, Rapport de la Commission spéciale, in: Actes et documents de la Douzième session de la Conférence de La Haye de droit international privé, Bd. IV, Den Haag 1975, S. 124 Rz. 75 f.). Hingegen unterstehen besondere ehe- und familienrechtliche Sanktionen bzw. Rechtsfolgen, welche bei Nichterfüllung der Unterhaltspflicht vorgesehen sind, grundsätzlich nicht dem Statut der Unterhaltsforderung (FRANÇOIS HERZFELDER, Les obligations alimentaires en droit international privé conventionnel, Paris 1985, S. 116).</w:t>
      </w:r>
    </w:p>
    <w:p>
      <w:r>
        <w:rPr>
          <w:b/>
        </w:rPr>
        <w:t>E. 2.4</w:t>
      </w:r>
    </w:p>
    <w:p>
      <w:r>
        <w:t>Die Anweisung nach Art. 177 ZGB setzt voraus, dass der Unterhaltsschuldner die Unterhaltspflicht gegenüber seiner Familie, aus welchen Gründen auch immer, nicht erfüllt (SCHWANDER, a.a.O., N. 10 zu Art. 177 ZGB ). Sie hat insoweit den Charakter einer familienrechtlichen Sanktion und untersteht - ob man sie nun als Vollstreckungsmassnahme sui generis oder als besonderes familienrechtliches Institut zur Durchsetzung von Unterhaltsansprüchen versteht - daher nicht dem Statut der Unterhaltsforderung. Zum gleichen Ergebnis kommen die Lehrmeinungen, welche die Schuldneranweisung nicht an das Unterhaltsstatut, sondern an das allgemeine Ehewirkungsstatut gemäss Art. 48 IPRG anknüpfen (SCHWANDER, a.a.O., N. 17 zu Art. 177 ZGB ; BUCHER, Droit international privé, Bd. II, S. 156 Rz. 425; a.M. WEBER, Anweisung an die Schuldner, BGE 130 III 489 S. 495 Sicherstellung der Unterhaltsforderung und Verfügungsbeschränkung, AJP 2002 S. 241: Anknüpfung an das Statut der Legalzession gemäss Art. 146 Abs. 1 IPRG ). Wenn vor diesem Hintergrund das Obergericht die anbegehrte Anweisung nicht unterhaltsrechtlich qualifiziert und daher nicht dem Unterhaltsstatut unterstellt hat, ist keine Verletzung des Staatsvertrages ersichtlich. Ob das Obergericht hingegen die autonomen Kollisionsregeln richtig angewendet hat, wenn es die Schuldneranweisung als vorsorgliche Massnahme nach Art. 62 Abs. 2 IPRG dem schweizerischen Recht unterstellt hat, oder ob die Schuldneranweisung - entsprechend den Regeln des internationalen Vollstreckungsrechts - sogar ein zwingender Rechtssatz mit auf die Schweiz beschränktem Anwendungsbereich darstellt (vgl. HAUSHEER/GEISER/REUSSER, a.a.O., N. 26 zu Art. 177 ZGB ), ist im vorliegenden Fall nicht zu erörtern. Der Beschwerdeführer rügt nicht, inwiefern die Anwendung des schweizerischen Rechts und damit der angefochtene Entscheid willkürlich ( Art. 9 BV ) sein soll. Auf die Beschwerde kann insoweit nicht eingetreten werden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