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407</w:t>
      </w:r>
    </w:p>
    <w:p>
      <w:r>
        <w:t>Bundesgericht (BGE), 1912-11-07, DE</w:t>
      </w:r>
    </w:p>
    <w:p>
      <w:r>
        <w:rPr>
          <w:b/>
        </w:rPr>
        <w:t xml:space="preserve">Quelle: </w:t>
      </w:r>
      <w:r>
        <w:t>https://mcp.opencaselaw.ch/entscheid/bge_BGE_130_III_407</w:t>
      </w:r>
    </w:p>
    <w:p>
      <w:r>
        <w:t>FR: ATF 130 III 407</w:t>
      </w:r>
    </w:p>
    <w:p>
      <w:r>
        <w:t>IT: DTF 130 III 407</w:t>
      </w:r>
    </w:p>
    <w:p>
      <w:pPr>
        <w:pStyle w:val="Heading2"/>
      </w:pPr>
      <w:r>
        <w:t>Regeste</w:t>
      </w:r>
    </w:p>
    <w:p>
      <w:r>
        <w:t>Regeste Art. 125 Abs. 3 SchKG, Kreisschreiben Nr. 2 des Bundesgerichts vom 7. November 1912; Steigerung beweglicher Sachen. Mit der Anzeige über den Eingang des Verwertungsbegehrens (Art. 120 SchKG) können dem Schuldner bereits die Daten der Verwertung und der Publikation bekannt gegeben werden (E. 2.2). Die Verletzung der Frist zur öffentlichen Publikation hat keine Nichtigkeit (Art. 22 SchKG) der Steigerung zur Folge (E. 2.3).</w:t>
      </w:r>
    </w:p>
    <w:p>
      <w:r>
        <w:t>Regeste Art. 125 al. 3 LP, Circulaire n° 2 du Tribunal fédéral du 7 novembre 1912; vente aux enchères de choses mobilières. L'avis relatif au dépôt de la réquisition de vente (art. 120 LP) peut déjà informer le débiteur des dates de la vente et de la publication de la vente (consid. 2.2). L'inobservation du délai pour la publication de la vente n'entraîne pas la nullité (art. 22 LP) des enchères (consid. 2.3).</w:t>
      </w:r>
    </w:p>
    <w:p>
      <w:r>
        <w:t>Regesto Art. 125 cpv. 3 LEF, Circolare n. 2 del Tribunale federale del 7 novembre 1912; realizzazione di beni mobili ai pubblici incanti. Contestualmente all'avviso del deposito della domanda di realizzazione possono già venir comunicate al debitore le date della realizzazione e della pubblicazione (art. 120 LEF; consid. 2.2). Il mancato ossequio del termine per la pubblicazione del bando non comporta la nullità (art. 22 LEF) dell'incanto (consid. 2.3).</w:t>
      </w:r>
    </w:p>
    <w:p>
      <w:pPr>
        <w:pStyle w:val="Heading2"/>
      </w:pPr>
      <w:r>
        <w:t>Erwägungen</w:t>
      </w:r>
    </w:p>
    <w:p>
      <w:r>
        <w:rPr>
          <w:b/>
        </w:rPr>
        <w:t>E. 2.1</w:t>
      </w:r>
    </w:p>
    <w:p>
      <w:r>
        <w:t>Selbst bei einer formell unzureichenden Beschwerde, wie sie hier vorliegt, kann die erkennende Kammer eingreifen, wenn sie auf eine nichtige Verfügung ( Art. 22 SchKG ) tatsächlich aufmerksam wird ( BGE 94 III 65 E. 2 S. 68 u. 71). Die obere Aufsichtsbehörde hat die angefochtene Steigerung vom 26. September 2003 im Ergebnis geschützt. Die Beschwerdeführerin macht Nichtigkeit geltend, weil das Betreibungsamt die an sie gerichteten Mitteilungen vom 26. August 2003 über die Verwertungsbegehren zugleich als Anzeige der Steigerung verwendet habe, zumal die Frist zwischen Publikation der Steigerung und deren Durchführung auch für die Interessenten zu kurz gewesen sei.</w:t>
      </w:r>
    </w:p>
    <w:p>
      <w:r>
        <w:rPr>
          <w:b/>
        </w:rPr>
        <w:t>E. 2.2</w:t>
      </w:r>
    </w:p>
    <w:p>
      <w:r>
        <w:t>Aus dem angefochtenen Beschluss und den kantonalen Akten geht hervor, dass das Betreibungsamt der Beschwerdeführerin als Schuldnerin mit (am 27. August 2003 durch Einschreiben zugestelltem) Formular Nr. 28 den Eingang der Verwertungsbegehren mitgeteilt hat und gleichzeitig das Datum (26. September 2003 um 10 Uhr) und den Ort (Sitz der Betreibungsschuldnerin) der Steigerung sowie deren Publikation (24. September 2003) bekannt BGE 130 III 407 S. 409 gege ben hat. Dass dem Schuldner mit der Anzeige über den Eingang des Verwertungsbegehrens ( Art. 120 SchKG ) bereits die Daten der Verwertung und der Publikation bekannt gegeben werden ( Art. 125 SchKG ), ist indessen nicht zu beanstanden (FREY, in: Kommentar zum BGE 130 III 407 S. 410 Bundesgesetz über Schuldbetreibung und Konkurs, N. 4 zu Art. 120 SchKG ; GILLIÉRON, Commentaire de la loi fédérale sur la poursuite pour dettes et la faillite, N. 8 zu Art. 120 SchKG ). Im Übrigen hat das Betreibungsamt die Dreitagesfrist für die Anzeige an Beteiligte ( Art. 125 Abs. 3 SchKG ) im vorliegenden Fall ohne weiteres gewahrt. Von einem Anhaltspunkt zum Einschreiten von Amtes wegen kann - abgesehen von der Frage, ob insoweit überhaupt Vorschriften im Sinne von Art. 22 SchKG verletzt sind - keine Rede sein.</w:t>
      </w:r>
    </w:p>
    <w:p>
      <w:r>
        <w:rPr>
          <w:b/>
        </w:rPr>
        <w:t>E. 2.3</w:t>
      </w:r>
    </w:p>
    <w:p>
      <w:r>
        <w:t>Bleibt zu prüfen, ob die Steigerung nichtig sei, weil das Publikum nicht rechtzeitig von der Durchführung der Steigerung erfahren habe.</w:t>
      </w:r>
    </w:p>
    <w:p>
      <w:r>
        <w:rPr>
          <w:b/>
        </w:rPr>
        <w:t>E. 2.3.1</w:t>
      </w:r>
    </w:p>
    <w:p>
      <w:r>
        <w:t>Die obere Aufsichtsbehörde hat zu Recht festgehalten, dass nicht nur die Anzeige an die Beteiligten, sondern auch die öffentliche Bekanntmachung der Steigerung beweglicher Sachen mindestens drei Tage vorher zu erfolgen hat ( BGE 38 I 739 E. 1 S. 741 f.; bestätigt in der Lehre: GILLIÉRON, a.a.O., N. 16, 24 und 37 zu Art. 125 SchKG ; vgl. Kreisschreiben Nr. 2 des Bundesgerichts vom 7. November 1912; BGE 54 III 78 ; BGE 122 III 327 ). Wenn die Publikation - wie die Vorinstanz verbindlich festgestellt hat (Art. 63 Abs. 2 i.V.m. Art. 81 OG ) - erst am 24. September 2003 in der Tagespresse erfolgt ist, hat das Betreibungsamt die Publikationsvorschrift für die Steigerung vom 26. September 2003 nicht eingehalten, was im angefochtenen Beschluss zu Recht erkannt worden ist. Entgegen der Auffassung der oberen Aufsichtsbehörde ist nicht erheblich (und nicht ernstlich überprüfbar), ob bei Einhaltung der Dreitagesfrist mehr Steigerungsinteressenten höhere Angebote gemacht hätten und ein höherer Verwertungserlös resultiert hätte. Massgebend in einem (den formellen Anforderungen genügenden) Beschwerdeverfahren ist, ob das Betreibungsamt das Verfahren gesetzmässig durchführt ( Art. 17 Abs. 1 SchKG ) und - mit vorliegendem Bezug auf die Steigerung - die Vorschriften zur öffentlichen Publikation einhält (vgl. BGE 121 III 88 E. 6a S. 90; BGE 110 III 30 E. 2 S. 32; GILLIÉRON, a.a.O., N. 24 zu Art. 125 SchKG ; RUTZ, in: Kommentar zum Bundesgesetz über Schuldbetreibung und Konkurs, N. 9 zu Art. 132a SchKG ; HÄUSERMANN/STÖCKLI/FEUZ, in: Kommentar zum Bundesgesetz über Schuldbetreibung und Konkurs, N. 21 a.E. zu Art. 143a SchKG ).</w:t>
      </w:r>
    </w:p>
    <w:p>
      <w:r>
        <w:rPr>
          <w:b/>
        </w:rPr>
        <w:t>E. 2.3.2</w:t>
      </w:r>
    </w:p>
    <w:p>
      <w:r>
        <w:t>Die - hier einzig zu prüfende (vgl. E. 2.1) - Kassation der Steigerung von Amtes wegen kommt nur in Frage, wenn beim Steigerungsverfahren absolut zwingende Vorschriften verletzt worden sind ( Art. 22 SchKG ; vgl. GILLIÉRON, a.a.O., N. 64 zu Art. 132a SchKG ; RUTZ, a.a.O., N. 6 zu Art. 132a SchKG ; HÄUSERMANN/ STÖCKLI/FEUZ, a.a.O., N. 31 zu Art. 143a SchKG ). Dies ist hier aber nicht der Fall. Der Umstand der zu kurzfristigen öffentlichen Auskündigung ist zwar geeignet, dass das interessierte Publikum nicht die nötige Zeit hatte, um sich auf die Steigerung vorzubereiten (vgl. Kreisschreiben, a.a.O.). An der Vorschrift über die Publikation der Steigerung sind indessen die Gläubiger und der Schuldner interessiert, weil sie dazu dient, einen möglichst hohen Erlös zu erzielen ( BGE 121 III 88 E. 6a S. 90; BGE 119 III 26 E. 2c S. 28), nicht aber die Steigerungsinteressenten (JAEGER/WALDER/KULL/KOTTMANN, Bundesgesetz über Schuldbetreibung und Konkurs, 4. Aufl., 1997, N. 14 zu Art. 125 SchKG ). Da eine zu kurz angesetzte Frist zwischen Publikation und Durchführung der Steigerung keinen Verstoss gegen eine Vorschrift im Sinne von Art. 22 SchKG darstellt, besteht kein Anlass, die Aufhebung der Steigerung von Amtes wegen in Betracht zu ziehen.</w:t>
      </w:r>
    </w:p>
    <w:p>
      <w:r>
        <w:rPr>
          <w:b/>
        </w:rPr>
        <w:t>E. 2.4</w:t>
      </w:r>
    </w:p>
    <w:p>
      <w:r>
        <w:t>Nach dem Dargelegten erweist sich die Beschwerde als unbegründet, soweit darauf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