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345</w:t>
      </w:r>
    </w:p>
    <w:p>
      <w:r>
        <w:t>Bundesgericht (BGE), 2003-12-23, DE</w:t>
      </w:r>
    </w:p>
    <w:p>
      <w:r>
        <w:rPr>
          <w:b/>
        </w:rPr>
        <w:t xml:space="preserve">Quelle: </w:t>
      </w:r>
      <w:r>
        <w:t>https://mcp.opencaselaw.ch/entscheid/bge_BGE_130_III_345</w:t>
      </w:r>
    </w:p>
    <w:p>
      <w:r>
        <w:t>FR: ATF 130 III 345</w:t>
      </w:r>
    </w:p>
    <w:p>
      <w:r>
        <w:t>IT: DTF 130 III 345</w:t>
      </w:r>
    </w:p>
    <w:p>
      <w:pPr>
        <w:pStyle w:val="Heading2"/>
      </w:pPr>
      <w:r>
        <w:t>Regeste</w:t>
      </w:r>
    </w:p>
    <w:p>
      <w:r>
        <w:t>Regeste Vertrag mit Schutzwirkung zugunsten Dritter; Vertrauenshaftung (Art. 2 ZGB). Die Haftung eines Liegenschaftenschätzers aus Vertrag mit Schutzwirkung zugunsten Dritter wäre selbst nach Auffassung der Befürworter dieser Rechtsfigur nur denkbar, wenn der Verkäufer der Liegenschaft im Einverständnis mit den Käufern einen Schätzungsauftrag in eigenem Namen erteilt und dem Liegenschaftenschätzer die gemeinsame Interessenlage offen gelegt hätte (E. 1). Ein Gutachter kann bereits bei einer mittelbaren Beziehung gegenüber einem vertragsfremden Dritten aus erwecktem Vertrauen haftbar werden. Dabei spielt keine Rolle, ob der Gutachter den Dritten kennt oder zumindest weiss, um wen es sich handelt, denn das Haftungsrisiko richtet sich nach den davon unabhängigen Kriterien des Inhalts der Expertise und deren Verwendungszweck (E. 2). Haftung im vorliegenden Fall verneint (E. 3).</w:t>
      </w:r>
    </w:p>
    <w:p>
      <w:r>
        <w:t>Regeste Contrat avec effet protecteur envers des tiers; responsabilité fondée sur la confiance (art. 2 CC). La responsabilité de l'auteur d'une estimation d'un immeuble, en vertu de la théorie de l'effet protecteur du contrat envers les tiers, ne serait concevable, même selon l'opinion des défendeurs de cette figure juridique, que si le vendeur de l'immeuble avait conclu, en accord avec les acheteurs, un contrat d'estimation en son propre nom et avait exposé au mandataire la situation d'intérêts commune (consid. 1). Un expert peut être amené à répondre envers un tiers au contrat du fait de la confiance éveillée déjà lorsqu'il existe entre eux un rapport indirect. A cet égard, savoir si l'expert connaît le tiers ou au moins sait de qui il s'agit ne joue aucun rôle, car le chef de responsabilité se juge d'après les critères, indépendants, du contenu de l'expertise et de son but d'utilisation (consid. 2). Responsabilité niée dans le cas d'espèce (consid. 3).</w:t>
      </w:r>
    </w:p>
    <w:p>
      <w:r>
        <w:t>Regesto Contratto con effetto di protezione a favore di terzi; responsabilità fondata sulla fiducia (art. 2 CC). La responsabilità di uno stimatore immobiliare, risultante da un contratto con effetto di protezione a favore di terzi, sarebbe unicamente ipotizzabile, anche secondo l'opinione dei fautori di questa figura giuridica, qualora il venditore dell'immobile abbia conferito in nome proprio con l'accordo dei compratori l'incarico di stimare ed esposto allo stimatore i comuni interessi (consid. 1). Un perito può essere chiamato a rispondere, già nel quadro di un rapporto indiretto, verso un terzo estraneo al contratto a causa della fiducia suscitata. È irrilevante sapere se il perito conosca il terzo o sappia almeno di chi si tratta, poiché il rischio di responsabilità viene determinato in base a criteri indipendenti, inerenti al contenuto della perizia ed al suo scopo (consid. 2). Responsabilità negata nella fattispecie (consid. 3).</w:t>
      </w:r>
    </w:p>
    <w:p>
      <w:pPr>
        <w:pStyle w:val="Heading2"/>
      </w:pPr>
      <w:r>
        <w:t>Erwägungen</w:t>
      </w:r>
    </w:p>
    <w:p>
      <w:r>
        <w:rPr>
          <w:b/>
        </w:rPr>
        <w:t>E. 1</w:t>
      </w:r>
    </w:p>
    <w:p>
      <w:r>
        <w:t>Die kantonalen Gerichte kamen übereinstimmend und zutreffend zum Ergebnis, eine ausservertragliche Haftung scheitere am Erfordernis der Widerrechtlichkeit, da den Beklagten keine Rechtspflicht zum Schutze des Vermögens eines Dritten treffe. Auch eine Haftung des Beklagten aus Vertrag mit Schutzwirkung zugunsten Dritter lehnten die Vorinstanzen zu Recht ab. Eine solche Haftung BGE 130 III 345 S. 348 ist in der bisherigen Praxis nie grundsätzlich bejaht worden. Die Frage braucht auch vorliegend nicht entschieden zu werden. Denn sie wäre nur denkbar, wenn der Verkäufer im Einverständnis mit den Käufern den Schätzungsauftrag in eigenem Namen erteilt und dem Beklagten diese gemeinsame Interessenlage offen gelegt hätte. Dies trifft im vorliegenden Fall aber nicht zu. Damit aber sind die Interessen der Vertragsparteien gegenläufig: Der Verkäufer ist an einem möglichst hohen, die Käufer an einem möglichst tiefen Verkehrswert interessiert. In einem solchen Fall scheidet die Annahme eines Vertrags mit Schutzwirkung zugunsten Dritter auch nach Auffassung der in der neueren Rechtslehre vertretenen Befürworter dieser Rechtsfigur aus (vgl. HANS PETER WALTER, Vertrauenshaftung im Umfeld des Vertrages, in: ZBJV 132/1996 S. 291 f.; anders die Praxis in Deutschland: Urteil des Bundesgerichtshofes [BGH] vom 10. November 1994 - III ZR 50/94 [Köln], publ. in: Neue Juristische Wochenschrift 1995 S. 392; im Ergebnis zustimmend DIETER MEDICUS, Anmerkung, Juristenzeitung 1995 S. 308 f.; wie hier CLAUS-WILHELM CANARIS, Schutzwirkungen zugunsten Dritter bei "Gegenläufigkeit" der Interessen: zugleich eine Besprechung der Entscheidung des BGH vom 10. November 1994 - III ZR 50/94, publ. in: Juristenzeitung 1995 S. 441 ff.). Auch eine Haftung des Beklagten als Gehilfe oder Mittäter aus culpa in contrahendo scheidet aus. Eine absichtliche Täuschung ( Art. 28 OR ) der Kläger durch den Beklagten ist nach den tatsächlichen Feststellungen der Vorinstanz nicht auszumachen. Ob Fahrlässigkeit für die culpa in contrahendo genügt (bejahend WALTER, a.a.O., ZBJV 132/1996 S. 292; CANARIS, a.a.O., S. 445), kann offen bleiben, weil die erforderliche Sachnähe des Gutachtens zu den Verhandlungen des Kaufvertrages fehlte. Das Gutachten wurde nicht im Hinblick auf diese Vertragsverhandlungen erstellt, sondern zwei Jahre nach der Ablieferung dazu verwendet. Auf diese zeitliche Distanz erscheint eine culpa in contrahendo ausgeschlossen (vgl. WALTER, a.a.O., ZBJV 132/1996 S. 293). Zudem ginge diese auf das negative Interesse, wogegen die Kläger inhaltlich einen Erfüllungsschaden geltend machen ( BGE 105 II 75 E. 3 S. 81). Die kantonalen Gerichte schützten die Klage indessen auf Grund der in jüngster Zeit vom Bundesgericht als eigenständige Haftungsgrundlage anerkannten Rechtsfigur der Vertrauenshaftung. BGE 130 III 345 S. 349</w:t>
      </w:r>
    </w:p>
    <w:p>
      <w:r>
        <w:rPr>
          <w:b/>
        </w:rPr>
        <w:t>E. 2.1</w:t>
      </w:r>
    </w:p>
    <w:p>
      <w:r>
        <w:t>Die Haftung aus erwecktem Vertrauen, welche als Oberbegriff jene aus culpa in contrahendo und die weiteren interessenmässig gleich gelagerten Tatbestandsgruppen umfasst (BAUMANN, Zürcher Kommentar, N. 108 und 123 zu Art. 2 ZGB ; KRAMER, Berner Kommentar, Allgemeine Einleitung in das schweizerische OR, N. 151), ist zwischen Vertrag und Delikt angesiedelt. Es handelt sich dabei um die Haftung eines vertragsfremden Dritten, bei welcher das von diesem erweckte Vertrauen die Rechtsgrundlage eines Schadenersatzanspruchs bildet, wenn es anschliessend enttäuscht wird. Schutzwürdiges Vertrauen setzt ein Verhalten des Schädigers voraus, das geeignet ist, hinreichend konkrete und bestimmte Erwartungen des Geschädigten zu wecken ( BGE 124 III 297 E. 6a S. 304; BGE 121 III 350 E. 6c S. 355; BGE 120 II 331 E. 5a S. 336; Urteile des Bundesgerichts 4C.299/1998 vom 7. Januar 1999, E. 4a, publ. in: SJ 2000 I S. 537 f.; 4C.280/1999 vom 28. Januar 2000, E. 3a, publ. in: SJ 2000 I S. 554 f.; KRAMER, a.a.O., N. 150; BUCHER, Basler Kommentar, 3. Aufl., N. 69a ff. zu Art. 1 OR ). Trifft der Geschädigte sich als nachteilig erweisende Dispositionen, hat der Schädiger für den Schaden einzustehen, sofern und soweit die nicht verwirklichte Erwartung dafür adäquat kausal war.</w:t>
      </w:r>
    </w:p>
    <w:p>
      <w:r>
        <w:rPr>
          <w:b/>
        </w:rPr>
        <w:t>E. 2.2</w:t>
      </w:r>
    </w:p>
    <w:p>
      <w:r>
        <w:t>Die Haftung aus erwecktem und enttäuschtem Vertrauen setzt voraus, dass die Beteiligten in eine so genannte "rechtliche Sonderverbindung" zueinander getreten sind, welche erst rechtfertigt, die aus Treu und Glauben ( Art. 2 ZGB ) hergeleiteten Schutz- und Aufklärungspflichten greifen zu lassen ( BGE 120 II 331 E. 5a S. 336). Eine derartige Sonderverbindung entsteht aus bewusstem oder normativ zurechenbarem Verhalten der in Anspruch genommenen Person. Ein zufälliges und ungewolltes Zusammenprallen, wie es im Regelfall einer auf Fahrlässigkeit gründenden Deliktshaftung eigen ist ( BGE 128 III 324 E. 2.2 S. 327; Urteil des BGE 130 III 345 S. 350 Bundesgerichts 4C.280/1999 vom 28. Januar 2000, E. 3a, publ. in: SJ 2000 I S. 554 f.; KRAMER, a.a.O., N. 141; HANS PETER WALTER, Die Vertrauenshaftung: Unkraut oder Blume im Garten des Rechts?, in: ZSR 120/2001 I S. 97), schafft dagegen keine derartige Sonderverbindung. Die Eigenhaftung eines Erfüllungsgehilfen kommt damit nur in Betracht, wenn er selbst in engen persönlichen Beziehungen zum Kunden seines Auftraggebers stand oder wenn er diesem aufgrund seines gesamten Verhaltens gleichsam persönliche Gewähr für das Gelingen des übernommenen Geschäfts bot (Urteil des Bundesgerichts 4C.280/1999 vom 28. Januar 2000, E. 3a, mit Hinweis auf WIEGAND/BERGER, Zur rechtssystematischen Einordnung von Art. 11 BEHG , in: ZBJV 135/1999 S. 713 f. und 743). Ein unmittelbarer Kontakt zwischen Ansprecher und Schädiger ist demnach nicht unabdingbar. Es genügt, dass die in Anspruch genommene Person explizit oder normativ zurechenbar kundgetan hat, für die Richtigkeit bestimmter Äusserungen einzustehen und der Ansprecher im berechtigten Vertrauen darauf Anordnungen getroffen hat, die ihm zum Schaden gereichten. Eine derartige Konstellation lag BGE 120 II 331 E. 5a S. 337 zugrunde, wo hervorgehoben wurde, dass sich die Haftung aus Konzernvertrauen, wenn sich dieses aus bestimmten Aussagen der Muttergesellschaft ergibt, mit der Haftung aus falschem Rat und mangelhafter Auskunft berührt. Daraus folgt, dass unter denselben Voraussetzungen auch ein Experte, dessen Auftrag im Wesentlichen stets darin besteht, bestimmte Fragen aus seinem Fachbereich zu beantworten, bereits bei einer mittelbaren Beziehung gegenüber einem vertragsfremden Dritten aus erwecktem Vertrauen haftbar werden kann. Die Analogie zur culpa in contrahendo-Haftung lässt sich herstellen durch Anknüpfung an den intendierten Vertrag zwischen dem Dritten und dem Auftraggeber des Experten, auf den die Expertise Einfluss zu nehmen bestimmt ist. Der Experte, der ein Schriftstück erarbeitet, welches dann von seinem Auftraggeber an den Dritten weitergegeben wird, tritt jedenfalls dann in mittelbare Beziehung zum Empfänger, wenn die Weitergabe mit seinem - wirklichen oder vertrauenstheoretisch zurechenbaren - Einverständnis erfolgt (CLAUS-WILHELM CANARIS, Die Reichweite der Expertenhaftung gegenüber Dritten, in: Zeitschrift für das gesamte Handelsrecht und Wirtschaftsrecht 163/1999 S. 224 ff.). Dabei spielt keine Rolle, ob der Experte den Dritten kennt oder zumindest weiss, um wen es sich handelt oder nicht, denn das Haftungsrisiko richtet sich nach den davon unabhängigen Kriterien des Inhalts der Expertise und deren Verwendungszweck (vgl. Urteil des Bundesgerichts 4C.202/2002 vom 30. Oktober 2002, E. 4.1; CANARIS, a.a.O., S. 235; ihm folgend ALAIN HIRSCH, La responsabilité de l'expert envers les tiers, in: Chappuis/Winiger, La responsabilité fondée sur la confiance, Journée de la responsabilité civile 2000, Zürich 2001, S. 83; REGULA FEHLMANN, Vertrauenshaftung - Vertrauen als alleinige Haftungsgrundlage, Diss. St. Gallen 2002, S. 147 mit Hinweisen). Ob der Gutachter mit der Begebung seiner Expertise an den ihn BGE 130 III 345 S. 351 belangen den Dritten rechnen musste, entscheidet sich nach den konkreten Umständen, dem gesellschaftlichen und beruflichen Kontext und der sozialen Rolle der Betroffenen (RAINER GONZENBACH, Culpa in contrahendo im schweizerischen Vertragsrecht, Diss. Bern 1987, S. 37; ERNST A. KRAMER, Diskussionsbeitrag zum Thema "Vertrauenshaftung" in: Chappuis/Winiger, a.a.O., S. 190). Diese bestimmen auch über die Intensität der Sonderverbindung, nach welcher sich wiederum der Umfang der Haftung richtet (EUGEN BUCHER, Was man aus einem Fall von "Putativ-Vertrauenshaftung" lernen kann, in: recht 19/2001 S. 79; WALTER, a.a.O., ZSR 120/2001 I S. 97). So hat das Bundesgericht im Urteil 4C.280/1999 vom 28. Januar 2000, E. 3a (publ. in: SJ 2000 I S. 554 f.) eine Sonderverbindung zwischen einem vom bauenden Grundeigentümer zur Baugrundabklärung und Begleitung der Aushubarbeiten beauftragten Geologen und den Eigentümern der durch die Bauarbeiten beschädigten Nachbarliegenschaft verneint. Zur Begründung führte es aus, weder sei festgestellt, dass eine persönliche Beziehung zwischen den Parteien stattgefunden habe noch dass der Beklagte den Klägern zugesichert habe, die Bautätigkeit werde ihr Eigentum nicht tangieren. Dispositionen der Kläger gestützt auf eine vom Beklagten geschaffene Vertrauensposition seien ebenfalls nicht auszumachen. Der Kontakt zwischen den Parteien sei ausschliesslich durch die als Folge von Bauarbeiten auf dem klägerischen Grundstück verursachten Schäden bedingt. Demgegenüber gelangte die Vorinstanz in Würdigung der Umstände im vorliegenden Fall zum Ergebnis, für den Beklagten sei die Weitergabe seines Schätzungsberichts an potenzielle Käufer voraussehbar gewesen. Ob sie dabei Bundesrecht verletzte, ist nachstehend zu prüfen.</w:t>
      </w:r>
    </w:p>
    <w:p>
      <w:r>
        <w:rPr>
          <w:b/>
        </w:rPr>
        <w:t>E. 3.1</w:t>
      </w:r>
    </w:p>
    <w:p>
      <w:r>
        <w:t>Der Beklagte macht mit der Berufung geltend, die Vorinstanz habe in keiner Weise begründet, worin die besondere Intensität der mittelbaren Beziehung zwischen den Parteien bestanden haben soll. Eine solche liege auch nicht vor, denn die Kläger hätten es unterlassen, den Beklagten vor Vertragsschluss zu kontaktieren und anzufragen, wie umfassend er seinerzeit die Liegenschaft untersucht habe und ob sie sich mit Bezug auf die Mängelfreiheit auf das zwei Jahre zuvor erstellte Gutachten verlassen könnten. Sie hätten daher die alleinige Verantwortung für ihre Vertrauensseligkeit zu tragen. BGE 130 III 345 S. 352</w:t>
      </w:r>
    </w:p>
    <w:p>
      <w:r>
        <w:rPr>
          <w:b/>
        </w:rPr>
        <w:t>E. 3.2</w:t>
      </w:r>
    </w:p>
    <w:p>
      <w:r>
        <w:t>Im vorliegenden Fall bestand zwischen dem Eigentümer der Liegenschaft D. in C. und dem Beklagten ein Auftragsverhältnis gemäss Art. 394 ff. OR . Der Beklagte verpflichtete sich gegenüber dem Liegenschafteneigentümer, ein Schätzungsgutachten über die genannte Liegenschaft zu erstellen. Wie die Kläger selbst angaben, diente das Gutachten dem damaligen Liegenschafteneigentümer dazu, bei der Bank eine Erhöhung des Hypothekarkredits zu erlangen. Die Kläger erhielten erst zwei Jahre später Kenntnis vom besagten Gutachten, als es ihnen im Rahmen einer Verkaufsdokumentation vorgelegt wurde. Der Beklagte konnte zwar nicht völlig ausschliessen, dass das von ihm erstellte Gutachten von irgendwelchen Personen in irgendeinem Zusammenhang zu einem späteren Zeitpunkt einmal eingesehen werden könnte. Allein die Möglichkeit einer zufälligen Kenntnisnahme vom Gutachten genügt aber nicht zur Begründung der Vertrauenshaftung. Dem angefochtenen Urteil ist nicht zu entnehmen, dass zwischen den Parteien zum Zeitpunkt der Erstellung des Gutachtens ein direkter Kontakt bestand oder dass der Beklagte von den Klägern und deren späteren Kaufsabsichten wusste. Auch liegen keine Anhaltspunkte vor, die darauf hindeuten, dass der Beklagte von den Klägern hätte wissen müssen. Es ist deshalb davon auszugehen, dass zwischen den Parteien zum Zeitpunkt der Erstellung des Gutachtens keine Verbindung bestand, die ein legitimes Vertrauen der Kläger in die Richtigkeit des vom Beklagten erstellten Gutachtens hätte begründen können. Ebenso wenig war für den Beklagten voraussehbar, dass der Liegenschafteneigentümer das Gutachten, welches dieser im Hinblick auf ein Gesuch um die Erhöhung des Hypothekarkredits bestellt hatte, zwei Jahre später in einem anderen Zusammenhang, dem Verkauf der Liegenschaft, nochmals verwenden würde. Eine Vertrauensbasis hätte das Gutachten höchstens gegenüber der Bank darstellen können, wenn diese gestützt auf im Gutachten enthaltene falsche Angaben nachteilige Dispositionen getroffen hätte. Das Gutachten zirkulierte aber im zeitlichen Abstand von zwei Jahren innerhalb eines Personenkreises, der mit dem ursprünglichen Zweck des bestellten Gutachtens nichts mehr zu tun hatte. Diese Personen, von denen der Beklagte nichts wusste und nichts wissen musste, waren nicht berechtigt, sich auf die Richtigkeit der Angaben im Gutachten zu verlassen. Die Haftung des Beklagten für das bei den Klägern erweckte Vertrauen dennoch zu bejahen, würde dazu BGE 130 III 345 S. 353 führen, dass die Vertrauenshaftung zu einer Haftung gegenüber jeder zufällig mit dem Gutachten in Berührung kommenden Person und mithin zu einer Haftung gegenüber jedermann (erga omnes) ausufern würde. Die Haftung des Beklagten ist deshalb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