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176</w:t>
      </w:r>
    </w:p>
    <w:p>
      <w:r>
        <w:t>Bundesgericht (BGE), 2004-01-29, FR</w:t>
      </w:r>
    </w:p>
    <w:p>
      <w:r>
        <w:rPr>
          <w:b/>
        </w:rPr>
        <w:t xml:space="preserve">Quelle: </w:t>
      </w:r>
      <w:r>
        <w:t>https://mcp.opencaselaw.ch/entscheid/bge_BGE_130_III_176</w:t>
      </w:r>
    </w:p>
    <w:p>
      <w:r>
        <w:t>FR: ATF 130 III 176</w:t>
      </w:r>
    </w:p>
    <w:p>
      <w:r>
        <w:t>IT: DTF 130 III 176</w:t>
      </w:r>
    </w:p>
    <w:p>
      <w:pPr>
        <w:pStyle w:val="Heading2"/>
      </w:pPr>
      <w:r>
        <w:t>Regeste</w:t>
      </w:r>
    </w:p>
    <w:p>
      <w:r>
        <w:t>Regeste Entgelt der ausseramtlichen Konkursverwaltung für anspruchsvolle Verfahren (Art. 47 GebV SchKG; Art. 84 KOV). Kriterien zur Festlegung des Entgelts; Anforderungen an die ausseramtliche Konkursverwaltung, die ein solches Entgelt verlangt; Überprüfungsbefugnis der kantonalen und eidgenössischen Aufsichtsbehörden in der Sache (E. 1). Wenn von der ausseramtlichen Konkursverwaltung verlangt wird, eine detaillierte Liste der Verrichtungen aufzustellen und à jour zu halten sowie für die Spezialvergütung die Eigenschaft der Person, welche die Arbeiten ausgeführt hat, und die aufgewendete Zeit anzugeben, so wird dem Begriff der "detaillierten Aufstellung" nach Art. 84 KOV keine übertrieben strenge Bedeutung beigemessen, welche einen Ermessensmissbrauch darstellen würde (E. 2). Kürzung von gewissen Honoraranzahlungen durch die kantonale Aufsichtsbehörde, weil die vorgelegten Unterlagen ungenügend sind und die in Rechnung gestellte Zeit nach Meinung des Gläubigerausschusses und des kantonalen Konkursamtes völlig übertrieben oder unverhältnismässig ist: Der Umfang dieser Kürzung (im konkreten Fall 50 %) ist eine Frage des Ermessens, die in der Zuständigkeit der kantonalen Aufsichtsbehörde liegt (E. 3).</w:t>
      </w:r>
    </w:p>
    <w:p>
      <w:r>
        <w:t>Regeste Rémunération de l'administration spéciale dans une procédure de faillite complexe (art. 47 OELP; art. 84 OAOF). Critères pour la fixation de la rémunération; exigences posées à l'administration spéciale qui requiert une telle rémunération; pouvoir d'examen des autorités cantonales et fédérale de surveillance en la matière (consid. 1). Exiger de l'administration spéciale qu'elle établisse et tienne à jour une liste détaillée des opérations effectuées, avec indication pour les honoraires spéciaux de la qualité de la personne ayant effectué les travaux et du temps qu'elle y a consacré, ne revient pas à conférer aux termes "liste détaillée" de l'art. 84 OAOF une portée excessivement rigoureuse aboutissant à un abus du pouvoir d'appréciation (consid. 2). Réduction par l'autorité cantonale de surveillance du montant de certains acomptes d'honoraires en raison de l'insuffisance des documents produits et d'un temps facturé totalement excessif ou disproportionné aux dires de la commission de surveillance et de l'office cantonal des faillites: la quotité de cette réduction (50 % en l'occurrence) est une question d'appréciation laissée à la compétence de l'autorité cantonale (consid. 3).</w:t>
      </w:r>
    </w:p>
    <w:p>
      <w:r>
        <w:t>Regesto Rimunerazione dell'amministrazione speciale in una procedura di fallimento complessa (art. 47 OTLEF; art. 84 RUF). Criteri per la fissazione della rimunerazione; esigenze poste all'amministrazione speciale che richiede una tale rimunerazione; potere d'esame delle autorità cantonali e federale di vigilanza in materia (consid. 1). Esigere dall'amministrazione speciale che essa allestisca e tenga aggiornata una lista dettagliata delle operazioni effettuate, con l'indicazione per gli onorari speciali della qualifica della persona che ha effettuato i lavori e del tempo che vi ha dedicato, non significa conferire ai termini "distinta particolareggiata" dell'art. 84 RUF una portata eccessivamente rigorosa, costituente un abuso nell'apprezzamento (consid. 2). Riduzione da parte dell'autorità cantonale di vigilanza dell'importo di certi acconti d'indennità a causa dell'insufficienza della documentazione prodotta e della fatturazione di un dispendio di tempo, secondo la delegazione dei creditori e l'ufficio cantonale dei fallimenti, totalmente eccessivo o sproporzionato: l'ammontare di tale riduzione (in concreto del 50 %) è una questione di apprezzamento di competenza dell'autorità cantonale (consid. 3).</w:t>
      </w:r>
    </w:p>
    <w:p>
      <w:pPr>
        <w:pStyle w:val="Heading2"/>
      </w:pPr>
      <w:r>
        <w:t>Erwägungen</w:t>
      </w:r>
    </w:p>
    <w:p>
      <w:r>
        <w:rPr>
          <w:b/>
        </w:rPr>
        <w:t>E. 1.1</w:t>
      </w:r>
    </w:p>
    <w:p>
      <w:r>
        <w:t>L'indemnité revenant à l'administration ordinaire ou à l'administration spéciale de la faillite est réglée par les art. 44 à 46 OELP ( art. 43 OELP ). Lorsqu'il s'agit, comme en l'espèce, d'une procédure complexe dont l'exécution a été confiée à une administration spéciale, l'autorité de surveillance fixe la rémunération en tenant notamment compte de la difficulté et de l'importance de l'affaire, du volume du travail fourni et du temps consacré ( art. 47 al. 1 OELP ). A cet effet, l'administration spéciale doit, avant de procéder à l'établissement du tableau de distribution définitif, soumettre à l'autorité de surveillance une liste détaillée de toutes ses vacations ausujet desquelles l'ordonnance sur les frais ne prévoit pas d'émolument spécial ( art. 84 et 97 OAOF ).</w:t>
      </w:r>
    </w:p>
    <w:p>
      <w:r>
        <w:rPr>
          <w:b/>
        </w:rPr>
        <w:t>E. 1.2</w:t>
      </w:r>
    </w:p>
    <w:p>
      <w:r>
        <w:t>L'autorité cantonale de surveillance appelée à fixer l'indemnité globale due à l'administration spéciale jouit d'un large pouvoir d'appréciation. L'autorité fédérale de surveillance ne peut statuer en opportunité ni substituer sa propre appréciation à celle de l'autorité cantonale; elle doit se borner à intervenir en cas d'excès ou d'abus du pouvoir d'appréciation, c'est-à-dire, notamment, si l'autorité cantonale a retenu des critères inappropriés, n'a pas tenu compte de circonstances pertinentes, n'a pas procédé à un examen complet des circonstances pertinentes ou n'a pas usé de critères objectifs ( ATF 120 III 97 consid. 2 p. 100 et les arrêts cités; P.-R. GILLIÉRON, Commentaire de la loi fédérale sur la poursuite pour dettes et la faillite, n. 57 ad art. 19 LP ; cf. aussi ATF 130 III 90 consid. 1).</w:t>
      </w:r>
    </w:p>
    <w:p>
      <w:r>
        <w:rPr>
          <w:b/>
        </w:rPr>
        <w:t>E. 2</w:t>
      </w:r>
    </w:p>
    <w:p>
      <w:r>
        <w:t>Le grief de formalisme excessif consiste, selon la recourante, en ce que l'autorité cantonale - en exigeant de l'administration spéciale qu'elle établisse et tienne à jour une liste détaillée des opérations effectuées, avec indication pour les honoraires spéciaux de la qualité de la personne ayant effectué les travaux et du temps qu'elle y a consacré - conférerait aux termes "liste détaillée" de l' art. 84 OAOF une portée excessivement rigoureuse, aboutissant in casu à un abus du pouvoir d'appréciation. L' art. 84 OAOF exige de l'administration spéciale, qui entend obtenir des honoraires spéciaux à teneur de l'art. 48 (recte: 47) OELP, qu'elle soumette à l'autorité de surveillance, afin que celle-ci puisse en fixer le montant, une " liste détaillée de toutes ses vacations au BGE 130 III 176 S. 181 sujet desquelles l'ordonnance sur les frais ne prévoit pas d'émolument spécial" et qu'elle y joigne le " dossier complet de la faillite ". L' art. 47 OELP impose pour sa part à l'autorité de surveillance de tenir compte notamment du " volume de travail fourni " et du " temps consacré ". Les exigences de l'autorité cantonale de surveillance critiquées par la recourante s'inscrivent dans le cadre fixé par ces dispositions, qu'elles concrétisent simplement. En soi et dans leur application au cas particulier, elle ne consacrent ni formalisme excessif, ni abus du pouvoir d'appréciation de la part de l'autorité cantonale. Celle-ci pouvait, sans encourir le reproche d'un tel grief, décider qu'en l'absence de liste détaillée - conforme aux exigences légales - des opérations auxquelles l'administration spéciale avait procédé, elle ne pouvait pas statuer définitivement sur les honoraires demandés ou les approuver sans autre. Contrairement à ce que soutient la recourante, l'autorité cantonale de surveillance avait donc des raisons, fondées sur l'insuffisance des documents produits, voire l'illégalité de certaines démarches, de ne prendre que partiellement en compte les opérations effectuées. Mal fondé, le premier grief de la recourante doit par conséquent être rejeté.</w:t>
      </w:r>
    </w:p>
    <w:p>
      <w:r>
        <w:rPr>
          <w:b/>
        </w:rPr>
        <w:t>E. 3</w:t>
      </w:r>
    </w:p>
    <w:p>
      <w:r>
        <w:t>Par son second grief, la recourante fait valoir en substance qu'en procédant à la réduction drastique de 50 % du montant des acomptes d'honoraires demandés, l'autorité cantonale de surveillance a abusé de son pouvoir d'appréciation, les acomptes accordés ne couvrant pas les salaires de ses collaborateurs. Un abattement de 20 % seulement aurait suffi selon elle.</w:t>
      </w:r>
    </w:p>
    <w:p>
      <w:r>
        <w:rPr>
          <w:b/>
        </w:rPr>
        <w:t>E. 3.1</w:t>
      </w:r>
    </w:p>
    <w:p>
      <w:r>
        <w:t>L'autorité cantonale n'a pas critiqué le tarif horaire indiqué par la recourante pour chacune des catégories de son personnel; elle a même émis l'hypothèse que le montant des honoraires demandés pouvait correspondre au travail effectué compte tenu des chiffres dudit tarif. Si elle a refusé d'approuver sans autre le montant demandé, c'est parce que la liste fournie par la recourante concernant les divers travaux effectués par son personnel, avec indication de la qualité de chacun, du total de ses heures et du tarif horaire appliqué, ne répondait pas aux exigences découlant des art. 47 OELP et 84 OAOF, exigences légales qu'une société fiduciaire qui accepte le mandat d'administration spéciale de la faillite ne saurait méconnaître. Manifestement, on ne se trouve pas là en présence BGE 130 III 176 S. 182 d'un cas d'abus ou d'excès du pouvoir d'appréciation tel que décrit plus haut (consid. 1.2).</w:t>
      </w:r>
    </w:p>
    <w:p>
      <w:r>
        <w:rPr>
          <w:b/>
        </w:rPr>
        <w:t>E. 3.2</w:t>
      </w:r>
    </w:p>
    <w:p>
      <w:r>
        <w:t>Quant à la quotité de la réduction (50 % ou 20 %), c'est là une question d'appréciation laissée à la compétence de l'autorité cantonale. Avant de statuer, celle-ci a d'ailleurs recueilli l'avis de la commission de surveillance et de l'office cantonal des faillites, qui ont tous deux manifesté leur incompréhension face à la grande différence d'honoraires entre les prestations relevant des frais généraux de la faillite et celles relevant des frais d'inventaire, d'administration et de réalisation des immeubles, et qui ont préconisé un abattement important eu égard à un " temps facturé (...) totalement excessif ou disproportionné " (déterminations de la commission de surveillance du 26 décembre 2001 et de l'office cantonal des faillites du 10 janvier 2002). Dans ses observations sur le recours, la commission de surveillance relève à ce propos, sans être contredite par le dossier, que la recourante n'a jamais expliqué les raisons de la grande différence en question; elle confirme en outre le caractère excessivement élevé des acomptes d'honoraires demandés. Mal fondé également, le second grief doit être rejeté à son 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