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444</w:t>
      </w:r>
    </w:p>
    <w:p>
      <w:r>
        <w:t>Bundesgericht (BGE), 2003-01-01, FR</w:t>
      </w:r>
    </w:p>
    <w:p>
      <w:r>
        <w:rPr>
          <w:b/>
        </w:rPr>
        <w:t xml:space="preserve">Quelle: </w:t>
      </w:r>
      <w:r>
        <w:t>https://mcp.opencaselaw.ch/entscheid/bge_BGE_129_V_444</w:t>
      </w:r>
    </w:p>
    <w:p>
      <w:r>
        <w:t>FR: ATF 129 V 444</w:t>
      </w:r>
    </w:p>
    <w:p>
      <w:r>
        <w:t>IT: DTF 129 V 444</w:t>
      </w:r>
    </w:p>
    <w:p>
      <w:pPr>
        <w:pStyle w:val="Heading2"/>
      </w:pPr>
      <w:r>
        <w:t>Regeste</w:t>
      </w:r>
    </w:p>
    <w:p>
      <w:r>
        <w:t>Regeste Art. 122, 141 und 142 ZGB; Art. 22 und 25a FZG: Teilung der Austrittsleistungen bei Scheidung; Zuständigkeit des Sozialversicherungsgerichts zur Prüfung der Durchführbarkeit einer von den Ehegatten ohne eindeutige Bestätigungen der Vorsorgeeinrichtungen vereinbarten Scheidungskonvention. Ein Scheidungsurteil, in welchem eine Vereinbarung der Ehegatten über die Teilung der Austrittsleistungen der beruflichen Vorsorge genehmigt wird, ist gegenüber den beteiligten Vorsorgeeinrichtungen insoweit vollstreckbar, als diese die Durchführbarkeit der getroffenen Regelung im Sinne von Art. 141 Abs. 1 ZGB bestätigt haben. Verweigert eine Vorsorgeeinrichtung den Vollzug eines Scheidungsurteils mit der Begründung, die vorgesehene Teilung sei nicht durchführbar, hat das vom forderungsberechtigten Ehegatten klageweise angerufene Sozialversicherungsgericht zu prüfen, ob das ergangene Urteil der Vorsorgeeinrichtung entgegengehalten werden kann. Bejaht es dies, hat es die klägerische Partei auf den Weg der Zwangsvollstreckung zu verweisen. Andernfalls ist auf die Klage materiell einzutreten, die Durchführbarkeit der vom Scheidungsrichter genehmigten Vereinbarung zu prüfen und, sofern diese gegeben ist, ein die Vorsorgeeinrichtung verpflichtendes Urteil auszufällen.</w:t>
      </w:r>
    </w:p>
    <w:p>
      <w:r>
        <w:t>Regeste Art. 122, 141 et 142 CC; art. 22 et 25a LFLP: Partage des prestations de sortie en cas de divorce; compétence du juge des assurances sociales pour statuer sur le caractère réalisable de l'accord entre époux, en l'absence d'attestations idoines des institutions de prévoyance. Un jugement de divorce approuvant la convention entre époux relative au partage des prestations de sortie de la prévoyance professionnelle est exécutoire, vis-à-vis des institutions de prévoyance concernées, pour autant que celles-ci aient attesté le caractère réalisable de l'accord conformément à l'art. 141 al. 1 CC. Si une institution de prévoyance refuse d'exécuter un jugement de divorce au motif que le partage prévu n'est pas réalisable, le juge des assurances sociales, saisi d'une action par l'époux créancier, doit vérifier si le jugement en question est opposable à l'institution de prévoyance. Dans l'affirmative, il doit renvoyer le demandeur à agir par la voie de l'exécution forcée. Dans la négative, il doit entrer en matière sur l'action, vérifier le caractère réalisable de l'accord approuvé par le juge du divorce et rendre, le cas échéant, un jugement condamnatoire à l'encontre de l'institution de prévoyance.</w:t>
      </w:r>
    </w:p>
    <w:p>
      <w:r>
        <w:t>Regesto Art. 122, 141 e 142 CC; art. 22 e 25a LFLP: Ripartizione delle prestazioni d'uscita in caso di divorzio; competenza del giudice delle assicurazioni sociali a statuire sull'attuabilità dell'accordo raggiunto dai coniugi in assenza di idonei attestati degli istituti di previdenza. Un giudizio di divorzio che omologa la convenzione conclusa dai coniugi sulla ripartizione delle prestazioni d'uscita della previdenza professionale è opponibile agli istituti di previdenza interessati nella misura in cui questi ultimi abbiano confermato l'attuabilità della regolamentazione adottata ai sensi dell'art. 141 cpv. 1 CC. Se un istituto di previdenza rifiuta di dare seguito a un giudizio di divorzio per il fatto che la ripartizione prevista non sarebbe attuabile, il giudice delle assicurazioni sociali, adito per petizione dal coniuge creditore, deve verificare se il giudizio in questione è opponibile all'istituto di previdenza. In caso affermativo, egli deve rinviare l'attore alla procedura di esecuzione forzata. Altrimenti, egli deve entrare nel merito dell'azione, verificare l'attuabilità dell'accordo omologato dal giudice del divorzio e rendere, se del caso, un giudizio di condanna nei confronti dell'istituto di previdenza.</w:t>
      </w:r>
    </w:p>
    <w:p>
      <w:pPr>
        <w:pStyle w:val="Heading2"/>
      </w:pPr>
      <w:r>
        <w:t>Erwägungen</w:t>
      </w:r>
    </w:p>
    <w:p>
      <w:r>
        <w:rPr>
          <w:b/>
        </w:rPr>
        <w:t>E. 4</w:t>
      </w:r>
    </w:p>
    <w:p>
      <w:r>
        <w:t>Le litige porte exclusivement sur la compétence ratione materiae du Tribunal des assurances du canton de Vaud, dès lors que le président, statuant seul, s'est déclaré incompétent pour trancher le litige opposant les parties. Ainsi, la décision litigieuse n'ayant pas pour objet l'octroi ou le refus de prestations d'assurance, le Tribunal fédéral des assurances doit se borner à examiner si le premier juge a violé le droit fédéral, y compris par l'excès ou par l'abus de son pouvoir d'appréciation, ou si les faits pertinents ont été constatés d'une manière manifestement inexacte ou incomplète, ou s'ils ont été établis au mépris de règles essentielles de procédure (art. 132 en corrélation avec les art. 104 let. a et b et 105 al. 2 OJ).</w:t>
      </w:r>
    </w:p>
    <w:p>
      <w:r>
        <w:rPr>
          <w:b/>
        </w:rPr>
        <w:t>E. 5.1</w:t>
      </w:r>
    </w:p>
    <w:p>
      <w:r>
        <w:t>Aux termes de l'art. 22 al. 1, première phrase LFLP, les prestations de sortie acquises durant le mariage, sont partagées, en cas de divorce, conformément aux art. 122, 123, 141 et 142 du code civil. Selon la première de ces dispositions légales, lorsque l'un des époux au moins est affilié à une institution de prévoyance et qu'aucun cas de prévoyance n'est survenu, chaque époux a droit à la moitié de la BGE 129 V 444 S. 447 prestation de sortie de son conjoint calculée pour la durée du mariage (art. 122 al. 1 CC). A certaines conditions, le juge peut refuser le partage ou l'un des époux y renoncer, totalement ou partiellement (art. 123 CC). En revanche, lorsque le cas de prévoyance est survenu, un partage n'est techniquement plus possible, dès lors que cette circonstance a pour effet de supprimer toute prétention à une prestation de sortie. Dans ce cas, comme dans celui de l'impossibilité de procéder au partage, une indemnité équitable sera due (art. 124 CC; sur ces questions, cf. THOMAS GEISER, Berufliche Vorsorge im neuen Scheidungsrecht, in: HAUSHEER [éd.], Vom alten zum neuen Scheidungsrecht, Berne 1999, p. 69 ss; SCHNEIDER/BRUCHEZ, La prévoyance professionnelle et le divorce, in: Le nouveau droit du divorce, Lausanne 2000, p. 219 ss).</w:t>
      </w:r>
    </w:p>
    <w:p>
      <w:r>
        <w:rPr>
          <w:b/>
        </w:rPr>
        <w:t>E. 5.2</w:t>
      </w:r>
    </w:p>
    <w:p>
      <w:r>
        <w:t>Les dispositions introduites par la modification du 26 juin 1998 du code civil suisse, entrée en vigueur le 1er janvier 2000, contiennent des règles de procédure énoncées aux art. 135 ss CC comme aux art. 25 et 25a LFLP. Ces dispositions ont pour effet d'intégrer les institutions de prévoyance dans la procédure de divorce, ces institutions ne devenant toutefois pas parties à la procédure. Mais ainsi, la procédure n'a plus pour objet de déterminer uniquement les droits et obligations des époux entre eux, mais aussi leurs prétentions à l'égard de leurs institutions de prévoyance. Du point de vue procédural, la situation sera différente selon que les époux et les institutions de prévoyance concernées s'accordent quant aux montants à prendre en compte et à leur partage ou que la contestation porte également sur les rapports de prévoyance comme sur la clé de répartition de ces avoirs. Ainsi,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Le juge leur communique les dispositions du jugement entré en force qui les concernent, y compris les indications nécessaires au transfert du montant prévu (art. 141 al. 1 et 2 CC). En revanche, en l'absence de convention, le juge du divorce fixe les proportions dans lesquelles les prestations de sortie doivent être partagées (art. 142 al. 1 CC). Puis, dans ce cas de désaccord, le juge BGE 129 V 444 S. 448 du lieu de divorce compétent au sens de l'art. 73 al. 1 LPP (i.e. le juge des assurances) doit, après que l'affaire lui a été transmise, exécuter d'office le partage sur la base de la clé de répartition déterminée par le juge du divorce (art. 25a al. 1 LFLP) et déterminer le montant précis des avoirs de prévoyance qui reviennent à chacun des époux.</w:t>
      </w:r>
    </w:p>
    <w:p>
      <w:r>
        <w:rPr>
          <w:b/>
        </w:rPr>
        <w:t>E. 5.3</w:t>
      </w:r>
    </w:p>
    <w:p>
      <w:r>
        <w:t>Pour pouvoir procéder au partage de la prévoyance acquise pendant le mariage, il importe de connaître les montants dont disposent les époux auprès de leurs institutions de prévoyance respectives. En cas de divorce, selon l'art. 24 al. 3 LFLP, l'institution de prévoyance est tenue, sur demande, de fournir les renseignements sur le montant des avoirs déterminants pour le calcul de la prestation de sortie à partager aussi bien au juge du divorce qu'à l'assuré. Dans le cadre d'un règlement à l'amiable (art. 141 al. 1 CC), le juge a pour tâche notamment de contrôler les indications fournies par l'institution de prévoyance. Il ne peut ratifier la convention au sens de l'art. 140 CC que si les époux produisent les attestations des institutions de prévoyance professionnelle appelées à verser la prestation de libre passage, attestations confirmant aussi bien le caractère réalisable de cet accord que le montant des avoirs déterminants pour le calcul des prestations de sortie à partager. Cette exigence permet de garantir l'exécution des dispositions convenues vis-à-vis de l'institution de prévoyance dès lors que la convention, une fois ratifiée, est contraignante pour cette dernière (SUTTER/FREIBURGHAUS, Kommentar zum neuen Scheidungsrecht, Zurich 1999, p. 221 no 65; SCHNEIDER/BRUCHEZ, op. cit., p. 248). Bien que l'institution de prévoyance professionnelle ne soit pas partie à la procédure de divorce, ni même partie intervenante, le caractère définitif et exécutoire du jugement à son égard découle de la loi (art. 141 al. 1 CC).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(KARL SPÜHLER, Neues Scheidungsverfahren, Zurich 2000, p. 79). A la différence du système en vigueur jusqu'au 31 décembre 1999 (cf. arrêt F. du 28 janvier 2003, B 96/00; FRANK HEYDEN, Das Verhältnis zwischen den Kognitionen des Scheidungsrichters und des Versicherungsrichters nach Art. 22 FZG , in: SJZ/RSJ 1996 p. 22 ss), il n'y a plus lieu en revanche de lui imposer d'ouvrir action devant un tribunal des assurances (compétent au sens de l'art. 25a LFLP et 73 LPP) dès lors que, comme on l'a vu, BGE 129 V 444 S. 449 le jugement de divorce définitif et exécutoire l'est désormais également pour l'institution de prévoyance. Il ne pourrait en aller autrement que dans le cas où le juge du divorce ratifie la convention sans disposer de l'attestation de l'institution de prévoyance professionnelle confirmant le caractère réalisable de l'accord. Dans ce cas en effet, le jugement n'est pas contraignant à l'égard de ladite institution et la procédure devra se poursuivre devant le juge des assurances comme dans le cas de l'art. 142 CC.</w:t>
      </w:r>
    </w:p>
    <w:p>
      <w:r>
        <w:rPr>
          <w:b/>
        </w:rPr>
        <w:t>E. 5.4</w:t>
      </w:r>
    </w:p>
    <w:p>
      <w:r>
        <w:t>Dans le cas d'espèce, les constatations de faits du premier juge sont manifestement incomplètes, dès lors que le jugement rendu passe totalement sous silence la question de l'attestation fournie par la CPEV quant au caractère réalisable de la convention passée entre époux, de sorte que le caractère obligatoire du jugement de divorce à l'égard de l'institution de prévoyance n'a pas été examiné. En l'absence de constatation relative à ces faits pertinents, il n'est pas possible de trancher la question de savoir si c'est à juste titre que le juge des assurances s'est déclaré incompétent - les époux disposant alors de la voie de l'exécution forcée à l'encontre de la CPEV (consid. 5.3 supra) - ou s'il devait donner suite à la procédure. C'est dans cette mesure qu'il convient d'annuler le jugement cantonal et de renvoyer la cause au premier juge. En procédant aux constatations sur le caractère réalisable du partage au regard de l'attestation fournie, le premier juge aura soin de ne pas limiter son examen uniquement au contenu écrit de ce document. En effet, ainsi que l'expose pertinemment la doctrine, ce caractère peut également être retenu lorsque les informations requises sont données par l'institution de prévoyance au regard ou dans le cadre d'une procédure de divorce (GEISER, op. cit., p. 96 no 2.108; GRÜTTER/SUMMERMATTER, Erstinstanzliche Erfahrungen mit dem Vorsorgeausgleich bei Scheidung, insbesondere nach Art. 124 ZGB , in: FamPra.ch 2002 p. 644). S'il devait cependant tenir pour constant que, faute d'attestation idoine, le jugement n'est pas exécutoire vis-à-vis de l'institution de prévoyance, il lui incomberait alors d'examiner s'il peut statuer dans le sens de l'accord passé par les époux au titre de convention sur les effets accessoires du divorce et rendre un jugement condamnatoire à l'encontre de la CPEV. Ce n'est finalement que s'il devait arriver à la conclusion que l'accord n'est pas réalisable (dans le sens des conclusions de la CPEV) que l'affaire serait à nouveau de la compétence du juge du divorce pour statuer sur l'indemnité équitable de l'art. 124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