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305</w:t>
      </w:r>
    </w:p>
    <w:p>
      <w:r>
        <w:t>Bundesgericht (BGE), 2003-01-01, DE</w:t>
      </w:r>
    </w:p>
    <w:p>
      <w:r>
        <w:rPr>
          <w:b/>
        </w:rPr>
        <w:t xml:space="preserve">Quelle: </w:t>
      </w:r>
      <w:r>
        <w:t>https://mcp.opencaselaw.ch/entscheid/bge_BGE_129_V_305</w:t>
      </w:r>
    </w:p>
    <w:p>
      <w:r>
        <w:t>FR: ATF 129 V 305</w:t>
      </w:r>
    </w:p>
    <w:p>
      <w:r>
        <w:t>IT: DTF 129 V 305</w:t>
      </w:r>
    </w:p>
    <w:p>
      <w:pPr>
        <w:pStyle w:val="Heading2"/>
      </w:pPr>
      <w:r>
        <w:t>Regeste</w:t>
      </w:r>
    </w:p>
    <w:p>
      <w:r>
        <w:t>Regeste Art. 25bis IVG: Besitzstandsgarantie. Massgebend für die Anwendbarkeit von Art. 25bis IVG ist nach dessen Wortlaut nicht der effektive Bezug von Taggeld der Unfallversicherung, sondern ob der Versicherte "bis zur Eingliederung" Anspruch auf ein Taggeld gemäss UVG hatte. Die Besitzstandsgarantie kann daher ausnahmsweise auch dann zur Anwendung gelangen, wenn der Taggeldanspruch der Invalidenversicherung nicht lückenlos an den Bezug des Taggeldes der Unfallversicherung anschliesst. Im hier zu beurteilenden Fall hätte nach den gesamten Umständen jedenfalls Anlass dazu bestanden, die Aufhebung des Taggeldanspruchs gegenüber der Unfallversicherung mit dem Beginn der Leistungen der Invalidenversicherung zu koordinieren. Die unterlassene Koordination des Taggeldanspruchs darf sich nicht zum Nachteil des Versicherten auswirken, weshalb dieser grundsätzlich Anspruch auf Festsetzung des Taggeldes der Invalidenversicherung unter Berücksichtigung der Besitzstandsgarantie von Art. 25bis IVG hat.</w:t>
      </w:r>
    </w:p>
    <w:p>
      <w:r>
        <w:t>Regeste Art. 25bis LAI : Garantie de la situation acquise. Pour l'application de l'art. 25bis LAI, est déterminant, à teneur de sa lettre, non pas le paiement effectif de l'indemnité journalière selon la LAA, mais le fait que l'assuré avait droit à une telle indemnité "jusqu'à sa réadaptation". C'est pourquoi la garantie de la situation acquise peut aussi exceptionnellement s'appliquer lorsque le droit à l'indemnité journalière de l'assurance-invalidité ne fait pas immédiatement suite au versement de l'indemnité journalière de l'assurance-accidents. Dans le cas d'espèce, il y avait lieu, au regard de l'ensemble de circonstances, de coordonner la suppression du droit à l'indemnité journalière de l'assurance-accidents avec le début des prestations de l'assurance-invalidité. Un tel défaut de coordination ne doit cependant pas avoir de conséquence défavorable pour l'assuré, de sorte que celui-ci a en principe droit à ce que l'indemnité journalière de l'assurance-invalidité qui lui est due soit fixée dans le respect de la garantie de la situation acquise de l'art. 25bis LAI.</w:t>
      </w:r>
    </w:p>
    <w:p>
      <w:r>
        <w:t>Regesto Art. 25bis LAI: Protezione della situazione acquisita. Determinante per l'applicazione dell'art. 25bis LAI non è, secondo il suo testo, l'effettivo versamento dell'indennità giornaliera secondo la LAINF, bensì il fatto che l'assicurato avesse diritto a una simile indennità "fino al momento dell'integrazione". La protezione della situazione acquisita può pertanto eccezionalmente trovare applicazione anche se il diritto all'indennità giornaliera dell'assicurazione per l'invalidità non fa immediatamente seguito al versamento dell'indennità giornaliera dell'assicurazione contro gli infortuni. Nel caso di specie, considerato l'insieme delle circostanze, ci sarebbe stato motivo di coordinare la soppressione del diritto all'indennità giornaliera dell'assicurazione contro gli infortuni con l'inizio delle prestazioni dell'assicurazione per l'invalidità. Il mancato coordinamento del diritto all'indennità giornaliera non può essere pregiudizievole per l'assicurato, per cui a quest'ultimo dev'essere, di principio, riconosciuto il diritto alla determinazione dell'indennità giornaliera dell'assicurazione per l'invalidità tenendo conto della protezione della situazione acquisita di cui all'art. 25bis LAI.</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2.1</w:t>
      </w:r>
    </w:p>
    <w:p>
      <w:r>
        <w:t>Gemäss Art. 22 Abs. 1 Satz 1 IVG hat der Versicherte während der Eingliederung ( Art. 8 ff. IVG ) Anspruch auf ein Taggeld, wenn er an wenigstens drei aufeinander folgenden Tagen wegen der Eingliederung verhindert ist, einer Arbeit nachzugehen, oder in seiner gewohnten Tätigkeit zu mindestens 50% arbeitsunfähig ist. Hatte ein Versicherter bis zur Eingliederung Anspruch auf ein Taggeld nach dem Bundesgesetz über die Unfallversicherung ( Art. 16 UVG ), so entspricht der Gesamtbetrag des Taggeldes mindestens dem bisher bezogenen Taggeld der Unfallversicherung ( Art. 25bis IVG ). Diese Bestimmung ist auch dann anwendbar, wenn die versicherte Person während der erstmaligen beruflichen Ausbildung Anspruch auf ein Taggeld nach Art. 22 Abs. 1 Satz 2 IVG (sog. kleines Taggeld) hat ( BGE 126 V 287 Erw. 3b).</w:t>
      </w:r>
    </w:p>
    <w:p>
      <w:r>
        <w:rPr>
          <w:b/>
        </w:rPr>
        <w:t>E. 2.2</w:t>
      </w:r>
    </w:p>
    <w:p>
      <w:r>
        <w:t>Nach der Rechtsprechung bezieht sich die Besitzstandsgarantie von Art. 25bis IVG auf die Höhe des zuletzt vor der Eingliederung bezogenen Taggeldes; bei lediglich teilweiser Arbeitsunfähigkeit beschränkt sie sich auf das entsprechend gekürzte Taggeld der Unfallversicherung (AHI 1999 S. 45 ff.). Anderseits hat die Invalidenversicherung das Taggeld nicht nur dem bisher bezogenen Taggeld der Unfallversicherung anzupassen, sondern auch spätere BGE 129 V 305 S. 308 Taggelderhöhungen zu berücksichtigen, welche der Unfallversicherer im Hinblick auf die mutmassliche Lohnentwicklung gestützt auf Art. 23 Abs. 7 UVV vorgenommen hätte ( BGE 119 V 121 ). In gleicher Weise ist einer unfallbedingten Verschlechterung des Gesundheitszustandes während der Eingliederung Rechnung zu tragen, soweit sie zu einer zusätzlichen Einschränkung der Arbeitsfähigkeit führt (AHI 1999 S. 49 Erw. 5c). In SVR 2002 IV Nr. 31 S. 102 Erw. 3 hat das Eidgenössische Versicherungsgericht diese Rechtsprechung bestätigt und festgestellt, dass ein allfälliger Teilerwerb oder Arbeitslosenentschädigungen, die wegen der Eingliederung wegfallen, nicht unter die Besitzstandsgarantie von Art. 25bis IVG fallen.</w:t>
      </w:r>
    </w:p>
    <w:p>
      <w:r>
        <w:rPr>
          <w:b/>
        </w:rPr>
        <w:t>E. 3</w:t>
      </w:r>
    </w:p>
    <w:p>
      <w:r>
        <w:t>Streitig ist, ob das dem Beschwerdeführer für die Dauer der Eingliederungsmassnahme ab 20. August 2001 zustehende Taggeld unter Berücksichtigung der Besitzstandsgarantie von Art. 25bis IVG festzusetzen ist. Dabei ist davon auszugehen, dass die SUVA die Taggeldleistungen auf den 31. Mai 2001 eingestellt hat.</w:t>
      </w:r>
    </w:p>
    <w:p>
      <w:r>
        <w:rPr>
          <w:b/>
        </w:rPr>
        <w:t>E. 3.1</w:t>
      </w:r>
    </w:p>
    <w:p>
      <w:r>
        <w:t>Die Vorinstanz hat erwogen, die Besitzstandsgarantie von Art. 25bis IVG setze nicht notwendigerweise voraus, dass bis zum Beginn der Eingliederung effektiv Taggelder der Unfallversicherung zur Ausrichtung gelangt seien; erforderlich sei jedoch, dass bis zu diesem Zeitpunkt grundsätzlich Anspruch auf ein Taggeld der Unfallversicherung bestanden habe. So verhalte es sich hier jedoch nicht. Die Einstellung der Taggeldleistungen durch die SUVA sei nicht im Hinblick auf die bevorstehende Eingliederung durch die Invalidenversicherung erfolgt. Auch habe der Beschwerdeführer keinen Anspruch auf Wartetaggelder der Invalidenversicherung gehabt und vorübergehend Entschädigungen der Arbeitslosenversicherung bezogen. Es bestehe daher kein relevanter Konnex zwischen den Taggeldleistungen der Unfallversicherung und denjenigen der Invalidenversicherung.</w:t>
      </w:r>
    </w:p>
    <w:p>
      <w:r>
        <w:rPr>
          <w:b/>
        </w:rPr>
        <w:t>E. 3.2</w:t>
      </w:r>
    </w:p>
    <w:p>
      <w:r>
        <w:t>Der Beschwerdeführer lässt vorbringen, bereits im Zeitpunkt der Einstellung der Taggeldleistungen der Unfallversicherung habe der Anspruch auf Eingliederungsmassnahmen der Invalidenversicherung festgestanden. Auch die SUVA sei davon ausgegangen, dass nach der Leistungseinstellung berufliche Eingliederungsmassnahmen der Invalidenversicherung folgten. Schon im Februar 2001 habe er sich im Einvernehmen mit der Berufsberatung der IV-Stelle um eine Ausbildung an der Technischen Schule für Wirtschaftsinformatik bemüht und einen entsprechenden Praktikumsplatz BGE 129 V 305 S. 309 gesucht. Wegen der zahlreichen Absagen habe er sich in der Folge für einen kaufmännischen Lehrgang an der Schule F. entschieden, was er der Invalidenversicherung Ende Juni 2001 mitgeteilt habe. Eine Unterstützung durch die IV-Berufsberatung habe nicht stattgefunden. Wäre es ihm gelungen, im März oder April 2001 eine Stelle zu finden, hätte das IV-Taggeld das Unfalltaggeld direkt abgelöst und wäre die Besitzstandsgarantie von Art. 25bis IVG zur Anwendung gelangt. Allein der Umstand, dass der administrative Ablauf nicht optimal verlaufen sei, dürfe nicht dazu führen, dass er den Anspruch auf Wahrung des Besitzstandes verliere, was insbesondere deshalb stossend wäre, weil ihm in keiner Weise vorgeworfen werden könne, seiner Mitwirkungspflicht nicht nachgekommen zu sein. Für die eingetretenen Verzögerungen und die mangelnde Koordination zwischen Unfallversicherung und Invalidenversicherung habe die Beschwerdegegnerin einzustehen. Im Übrigen stelle sich die Frage nach einem allfälligen Anspruch auf ein Wartetaggeld der Invalidenversicherung, weil im Zeitpunkt der Einstellung des Unfalltaggeldes Eingliederungsmassnahmen subjektiv und objektiv angezeigt gewesen seien.</w:t>
      </w:r>
    </w:p>
    <w:p>
      <w:r>
        <w:rPr>
          <w:b/>
        </w:rPr>
        <w:t>E. 4.1</w:t>
      </w:r>
    </w:p>
    <w:p>
      <w:r>
        <w:t>Der Anspruch auf Wartetaggeld gemäss Art. 22 Abs. 3 IVG in Verbindung mit Art. 18 Abs. 1 IVV setzt voraus, dass der Versicherte mindestens zu 50% arbeitsunfähig ist und auf den Beginn bevorstehender Eingliederungsmassnahmen warten muss. Nach der Rechtsprechung ist für den Anspruch auf Wartetaggeld nicht erforderlich, dass über konkrete Eingliederungsmassnahmen bereits entschieden wurde (AHI 1997 S. 172 Erw. 3a). Die versicherte Person muss jedoch auf den Beginn von Eingliederungsmassnahmen und nicht bloss auf Abklärungsmassnahmen warten; zudem müssen Eingliederungsmassnahmen subjektiv und objektiv angezeigt sein (AHI 2000 S. 206). Diese Voraussetzungen sind im vorliegenden Fall nicht erfüllt. Der Beschwerdeführer hat sich nach der Anmeldung bei der Invalidenversicherung und einem berufsberaterischen Erstgespräch vom 15. Dezember 2000 selber um einen Berufseinstieg zunächst im Computer- und Werbebereich und später auf dem Gebiet der Personalberatung bemüht. Als sich zeigte, dass seine Bewerbungen mangels genügender kaufmännischer Kenntnisse erfolglos blieben, entschloss er sich, eine dreijährige kaufmännische Ausbildung an der Schule F. zu absolvieren. Seinen Angaben zufolge hat er der Invalidenversicherung Ende Juni 2001 hievon Mitteilung gemacht. Am 19. Juli 2001 verfügte die IV-Stelle die Kostenübernahme BGE 129 V 305 S. 310 für die vorgesehene Ausbildung, welche am 20. August 2001 angetreten wurde. Auch wenn die berufliche Eingliederungsmassnahme angezeigt war, kann nicht gesagt werden, der Beschwerdeführer habe in der Zeit ab 1. Juni 2001 auf die Durchführung von Eingliederungsmassnahmen gewartet, weshalb ein Anspruch auf Wartetaggeld entfällt.</w:t>
      </w:r>
    </w:p>
    <w:p>
      <w:r>
        <w:rPr>
          <w:b/>
        </w:rPr>
        <w:t>E. 4.2</w:t>
      </w:r>
    </w:p>
    <w:p>
      <w:r>
        <w:t>Mit der Bestimmung von Art. 25bis IVG soll verhindert werden, dass der Bezüger eines UV-Taggeldes nach Antritt einer von der Invalidenversicherung übernommenen Eingliederung mit entsprechendem Taggeld eine leistungsmässige Einbusse erleidet (Botschaft vom 18. August 1976 zum Bundesgesetz über die Unfallversicherung, BBl 1976 III S. 190 und 228). Im Sinne einer Besitzstandsgarantie soll dem Anspruchsberechtigten in der Invalidenversicherung der leistungsmässige Status als Unfallversicherter gewahrt bleiben ( BGE 126 V 285 Erw. 2a mit Hinweisen). Definitionsgemäss setzt die Besitzstandsgarantie einen bestehenden Leistungsanspruch voraus, weshalb Art. 25bis IVG grundsätzlich nur Anwendung finden kann, wenn der Taggeldanspruch der Invalidenversicherung denjenigen der Unfallversicherung unmittelbar ablöst. Massgebend für die Anwendbarkeit von Art. 25bis IVG ist nach dem Wortlaut des Gesetzes indessen nicht der effektive Bezug von Taggeld der Unfallversicherung, sondern ob der Versicherte "bis zur Eingliederung" ("jusqu'à sa réadaptation"; "fino al momento dell'integrazione") Anspruch auf ein Taggeld gemäss UVG hatte. Die Besitzstandsgarantie kann daher ausnahmsweise auch dann zur Anwendung gelangen, wenn der Taggeldanspruch der Invalidenversicherung nicht lückenlos an den Bezug des UV-Taggeldes anschliesst. Im vorliegenden Fall stellt sich die Frage, ob die Taggeldzahlungen der Unfallversicherung zu Recht vor Beginn der Eingliederungsmassnahme der Invalidenversicherung eingestellt wurden. Hiezu geht aus den Akten hervor, dass der SUVA bereits anfangs 2001 bekannt war, dass berufliche Eingliederungsmassnahmen der Invalidenversicherung zur Diskussion standen. In einer internen Stellungnahme zu einem Bericht des Orthopäden Dr. med. K., vom 5. Januar 2001 verneinte Kreisarzt Dr. med. L. die Frage, ob der Versicherte im angestammten Beruf als Sanitärmonteur je wieder voll arbeitsfähig sein werde; des Weitern bejahte er die Frage, ob aus medizinischer Sicht eine Prüfung von Umschulungsmassnahmen angezeigt sei. Im Bericht über die kreisärztliche Untersuchung vom 30. Mai 2001 gelangte er zum Schluss, im erlernten Beruf als Sanitärmonteur gelte der Versicherte seit November 2000 BGE 129 V 305 S. 311 als arbeitsunfähig. Sollte er in diesem Berufsfeld verbleiben wollen, müsste jetzt der Wiedereinstieg angestrengt werden. Dieser hätte sicher sukzessive zu erfolgen, wobei mit Schwierigkeiten zu rechnen sei, weil es sich nicht um ein geeignetes Arbeitsfeld handle. Die vom Versicherten angestrebte Umstellung auf eine Tätigkeit im Computerbereich sei zu begrüssen. Mit Ausnahme ausgesprochener Schwerarbeit dürfe der Versicherte heute als voll arbeitsfähig eingestuft werden. Die Arbeitsfähigkeit im genannten Umfang sei theoretisch ab sofort gegeben; das Stichdatum werde von der Administration festzulegen sein. Gestützt auf diese ärztliche Beurteilung hat die SUVA die Taggeldzahlungen auf den 31. Mai 2001 eingestellt und den Versicherten an die Arbeitslosenversicherung verwiesen. Die Vorinstanz erachtet diesen Entscheid als zutreffend unter Hinweis darauf, dass der Grad der Arbeitsunfähigkeit nur so lange unter Berücksichtigung der bisherigen Tätigkeit festzusetzen ist, als von der versicherten Person vernünftigerweise nicht verlangt werden kann, die restliche Arbeitsfähigkeit anderweitig einzusetzen ( BGE 115 V 404 Erw. 2; vgl. auch Art. 6 Satz 2 ATSG ). Damit bleibt unbeachtet, dass der Beschwerdeführer die restliche Arbeitsfähigkeit nicht ohne vorgängige berufliche Eingliederungsmassnahmen anderweitig zu verwerten vermochte, in welchem Sinne sich auch Kreisarzt Dr. med. L. ausgesprochen hatte. Nach den gesamten Umständen hätte jedenfalls Anlass dazu bestanden, die Aufhebung des Taggeldanspruchs mit dem Beginn der Leistungen der Invalidenversicherung zu koordinieren. In diesem Sinne war wohl auch die Feststellung des Kreisarztes zu verstehen, das Stichdatum sei durch die Administration festzulegen. Die unterlassene Koordination des Taggeldanspruchs darf sich nicht zum Nachteil des Versicherten auswirken. Der Beschwerdeführer hat daher grundsätzlich Anspruch auf Festsetzung des Taggeldes unter Berücksichtigung der Besitzstandsgarantie von Art. 25bis IVG .</w:t>
      </w:r>
    </w:p>
    <w:p>
      <w:r>
        <w:rPr>
          <w:b/>
        </w:rPr>
        <w:t>E. 4.3</w:t>
      </w:r>
    </w:p>
    <w:p>
      <w:r>
        <w:t>Auf Grund der medizinischen Akten ist allerdings anzunehmen, dass der Beschwerdeführer ab dem 1. Juni 2001 in der angestammten Tätigkeit als Sanitärmonteur nicht voll arbeitsunfähig war. Anlässlich der Untersuchung vom 30. Mai 2001 stellte Dr. med. L. gegenüber Dezember 2000 eine Besserung der Verhältnisse im Sprunggelenk mit freier Beweglichkeit und guter Belastbarkeit fest und schloss eine sukzessive Wiederaufnahme der Arbeit im bisherigen Tätigkeitsbereich, unter Ausschluss ausgesprochener Schwerarbeit, nicht aus. Dies lässt darauf schliessen, dass der Beschwerdeführer in der fraglichen Zeit im bisherigen Beruf zumindest teilweise BGE 129 V 305 S. 312 arbeitsfähig war und daher ein entsprechend niedrigeres Taggeld bezogen hätte ( Art. 17 Abs. 1 UVG ). Wie es sich damit verhält, lässt sich auf Grund der vorhandenen Akten jedoch nicht zuverlässig beurteilen und bedarf ergänzender Abklärungen. Weil sich die Besitzstandsgarantie nach dem Gesagten (Erw. 2.2 hievor) bei lediglich teilweiser Arbeitsunfähigkeit auf das entsprechend gekürzte Taggeld der Unfallversicherung beschränkt, ist nicht ausgeschlossen, dass die Besitzstandsgarantie im vorliegenden Fall zu keinem höheren Taggeld führt. Die Sache ist daher an die Verwaltung zurückzuweisen, damit sie ergänzende Abklärungen zur Arbeitsfähigkeit des Beschwerdeführers im bisherigen Beruf hinsichtlich der Zeit vor Beginn des Anspruchs auf das IV-Taggeld vornehme und über das Massliche des Taggeldanspruchs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