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300</w:t>
      </w:r>
    </w:p>
    <w:p>
      <w:r>
        <w:t>Bundesgericht (BGE), 2003-01-01, DE</w:t>
      </w:r>
    </w:p>
    <w:p>
      <w:r>
        <w:rPr>
          <w:b/>
        </w:rPr>
        <w:t xml:space="preserve">Quelle: </w:t>
      </w:r>
      <w:r>
        <w:t>https://mcp.opencaselaw.ch/entscheid/bge_BGE_129_V_300</w:t>
      </w:r>
    </w:p>
    <w:p>
      <w:r>
        <w:t>FR: ATF 129 V 300</w:t>
      </w:r>
    </w:p>
    <w:p>
      <w:r>
        <w:t>IT: DTF 129 V 300</w:t>
      </w:r>
    </w:p>
    <w:p>
      <w:pPr>
        <w:pStyle w:val="Heading2"/>
      </w:pPr>
      <w:r>
        <w:t>Regeste</w:t>
      </w:r>
    </w:p>
    <w:p>
      <w:r>
        <w:t>Regeste Art. 52 AHVG: Haftung der Erben. Die Schadenersatzpflicht nach Art. 52 AHVG des präsumtiv haftenden Erblassers, der als Organ einer konkursiten juristischen Person wirkte, geht auf die Erben über. Zufolge solidarischer Haftung der Erben für die Erbschaftsschulden steht es der Ausgleichskasse frei, die einzelnen Erben je für einen Teil oder auch für die gesamte Forderung ins Recht zu fassen. Es liegt ein nicht statthafter Parteiwechsel vor, wenn die Ausgleichskasse mit ihrer Schadenersatzverfügung darauf zielte, den Erblasser als ehemaligen Verwaltungsrat der konkursiten Gesellschaft zu verpflichten, die entsprechende Verfügung aber irrtümlicherweise an einen gleichnamigen Erben adressiert wurde und die Kasse auf Einspruch des Erben hin ohne Erlass einer neuen, diesen ins Recht fassenden Verfügung Klage gegen diesen erhebt. Im Rahmen des Pauschalverfahrens (nach der bis 31. Dezember 2000 geltenden AHV-rechtlichen Ordnung) besteht mangels Widerrechtlichkeit und Verschuldens keine Haftung der Erben für die nach dem Tod des Erblassers ergangene Schlussabrechnung.</w:t>
      </w:r>
    </w:p>
    <w:p>
      <w:r>
        <w:t>Regeste Art. 52 LAVS: Responsabilité des héritiers. L'obligation de réparer le dommage selon l'art. 52 LAVS découlant de la responsabilité prétendue du de cujus en sa qualité d'ancien organe de la personne morale faillie passe à ses héritiers. Au regard de la responsabilité solidaire des héritiers pour les dettes de la succession, la caisse est libre de poursuivre certains des héritiers pour une partie de la créance seulement ou pour la totalité de celle-ci. Il y a un changement de partie inadmissible lorsque la décision en réparation du dommage rendue par la caisse et visant le de cujus en sa qualité d'ancien administrateur de la société faillie a été adressée par erreur à l'héritier portant le même patronyme, et que sur opposition de ce dernier, la caisse ouvre action contre lui sans rendre une nouvelle décision le concernant. Dans le cadre de la procédure forfaitaire (selon la réglementation de l'AVS en vigueur jusqu'au 31 décembre 2000), les héritiers n'ont pas à répondre du dommage résultant du décompte final établi après la mort du de cujus dès lors qu'on ne peut reprocher de comportement illicite et fautif à ce dernier.</w:t>
      </w:r>
    </w:p>
    <w:p>
      <w:r>
        <w:t>Regesto Art. 52 LAVS: Responsabilità degli eredi. L'obbligo di risarcire il danno giusta l'art. 52 LAVS risultante dalla responsabilità presunta del de cuius per la sua qualità di organo della persona giuridica fallita passa agli eredi. In considerazione della responsabilità solidale degli eredi per i debiti della successione, la cassa di compensazione è libera di procedere contro i singoli eredi soltanto per una parte del credito oppure per la sua totalità. Se la decisione di risarcimento emessa dalla cassa di compensazione e volta a obbligare il de cuius nella sua qualità di ex amministratore unico della società fallita è stata erroneamente indirizzata all'erede recante il medesimo nome e se, in seguito all'opposizione di quest'ultimo, la cassa promuove un'azione contro di lui senza rendere una nuova decisione che lo concerna, si è in presenza di un'inammissibile sostituzione di parte. Nell'ambito della procedura forfetaria (secondo la regolamentazione AVS in vigore fino al 31 dicembre 2000), facendo difetto i requisiti dell'illiceità e della colpa, non sussiste alcuna responsabilità degli eredi in relazione al conteggio finale emesso dopo il decesso del de cuius.</w:t>
      </w:r>
    </w:p>
    <w:p>
      <w:pPr>
        <w:pStyle w:val="Heading2"/>
      </w:pPr>
      <w:r>
        <w:t>Erwägungen</w:t>
      </w:r>
    </w:p>
    <w:p>
      <w:r>
        <w:rPr>
          <w:b/>
        </w:rPr>
        <w:t>E. 3</w:t>
      </w:r>
    </w:p>
    <w:p>
      <w:r>
        <w:t>I., geb. 1935, seines Zeichens ehemaliger alleiniger Verwaltungsrat der konkursiten Aktiengesellschaft X., starb am 18. Januar 1996. Zu prüfen ist daher, ob der geltend gemachte öffentlich-rechtliche Schadenersatzanspruch (als Passivum) vererblich ist, bejahendenfalls, ob die Beschwerdegegnerin den Anspruch gegenüber den letztinstanzlich am Recht stehenden Erben in Beachtung der AHV-rechtlichen und allgemeinen prozessrechtlichen Vorschriften rechtsgültig geltend machte und - sofern dies auch positiv zu beantworten ist - schliesslich die Begründetheit der Forderung.</w:t>
      </w:r>
    </w:p>
    <w:p>
      <w:r>
        <w:rPr>
          <w:b/>
        </w:rPr>
        <w:t>E. 3.1</w:t>
      </w:r>
    </w:p>
    <w:p>
      <w:r>
        <w:t>Nach der Rechtsprechung geht die Verpflichtung aus einer vom Erblasser begangenen unerlaubten Handlung auf die Erben über, welche die Erbschaft angenommen haben ( BGE 103 II 334 Erw. 3). In BGE 119 V 168 Erw. 3c erwog das Eidgenössische Versicherungsgericht, dieser Grundsatz gelte auch für Schadenersatzpflichten nach Art. 52 AHVG (grundlegend: BGE 96 V 73 Erw. 1). Von dieser Regel ausgehend ist es unerheblich, ob der AHV-rechtlich präsumtiv haftende Erblasser, wie im hier zu beurteilend en Fall, vor Erlass einer ihn persönlich ins Recht fassenden Verfügung stirbt oder der Tod erst nachher eingetreten ist (so in dem in BGE 119 V 168 Erw. 3c zu beurteilenden Sachverhalt) (in SVR 2000 AHV Nr. 16 S. 49 nicht publizierte Erw. 3a; Urteil K. und V. vom 10. Oktober 2002, H 36/02 und H 38/02). Macht die Verwaltung nach dem Tod einer Ergänzungsleistungen empfangenden Person die Rückerstattung zu Unrecht ausgerichteter Versicherungsleistungen geltend, genügt es sodann für die Rechtswirksamkeit BGE 129 V 300 S. 302 der Verfügung, wenn mit dieser nur eine einzelne Erbin oder ein einzelner Erbe ins Recht gefasst wurde ( BGE 129 V 70 ). Das Eidgenössische Versicherungsgericht begründete die Änderung der bisherigen Rechtsprechung, wonach die Verfügung jedem einzelnen Erben persönlich zu eröffnen war, wenn die Rückforderung erst nach dem Tod des Leistungsbezügers geltend gemacht wurde, im Wesentlichen damit, dass die Erben Solidarschuldner sind ( Art. 143 Abs. 2 OR in Verbindung mit Art. 603 Abs. 1 ZGB ) und nach Art. 144 OR von Gläubigern je einzeln für einen Teil oder auch für das Ganze belangt werden können ( BGE 129 V 71 f. Erw. 3.2 und 3.3). Von diesen Grundsätzen abzugehen, wenn die Geltendmachung eines Schadenersatzanspruches nach Art. 52 AHVG in Frage steht, besteht kein Anlass. Entgegen den Vorbringen der Beschwerdeführer ist es daher nicht zu beanstanden, dass die Beschwerdegegnerin nicht alle, sondern bloss zwei Erben ins Recht fassen wollte.</w:t>
      </w:r>
    </w:p>
    <w:p>
      <w:r>
        <w:rPr>
          <w:b/>
        </w:rPr>
        <w:t>E. 3.2</w:t>
      </w:r>
    </w:p>
    <w:p>
      <w:r>
        <w:t>Das kantonale Gericht hat die Literatur (THOMAS NUSSBAUMER, Das Schadenersatzverfahren nach Art. 52 AHVG , in: SCHAFFHAUSER/KIESER [Hrsg.], Aktuelle Fragen aus dem Beitragsrecht der AHV, St. Gallen 1998; derselbe, Die Ausgleichskasse als Partei im Schadenersatzprozess nach Art. 52 AHVG , in: ZAK 1991 S. 383 ff., 433 ff., insbesondere S. 434) zum Grundsatz, wonach die in der Schadenersatzverfügung der Ausgleichskasse als Adressat bezeichnete und damit als Schadenersatzschuldnerin ins Recht gefasste Partei im Laufe des Prozesses nicht gewechselt werden kann, zutreffend dargelegt. Entgegen der Vorinstanz liegt hinsichtlich des Beschwerdeführers W. nicht eine statthafte, bloss formelle Berichtigung einer Parteibezeichnung in einem Verfahren vor, in welchem die Identität der Partei von Anfang an eindeutig feststand, deren Benennung aber falsch war ( BGE 116 V 344 mit Hinweis). Mit Verfügung vom 28. Januar 1997 verpflichtete die Verwaltung I. in seiner Eigenschaft als ehemaliger Verwaltungsrat der konkursiten Gesellschaft. Der Umstand, dass die genannte Verfügung wegen falscher Adressierung beim Beschwerdeführer einging, ändert nichts daran, dass die Beschwerdegegnerin ursprünglich I. und nicht den Beschwerdeführer als passivlegitimiert betrachtete. Indem die Beschwerdegegnerin nach Einspruch des Beschwerdeführers und Ermittlung der zivilstands- und erbrechtlichen Verhältnisse ohne Erlass einer den Beschwerdeführer ins Recht fassenden Verfügung Klage gegen diesen führte, fehlte es vorinstanzlich (bezüglich des Beschwerdeführers) an einer Verfügung, deren Vorliegen eine Prozessvoraussetzung bildet. Hat das kantonale Gericht diesen BGE 129 V 300 S. 303 Umstand übersehen und hat es materiell entschieden, ist dies im Rechtsmittelverfahren - von Amtes wegen - zu berücksichtigen mit der Folge, dass der angefochtene Entscheid, soweit er den Beschwerdeführer betrifft, aufzuheben ist ( BGE 125 V 405 f. Erw. 4a). Die Verwaltungsgerichtsbeschwerde des Beschwerdeführers ist damit begründet.</w:t>
      </w:r>
    </w:p>
    <w:p>
      <w:r>
        <w:rPr>
          <w:b/>
        </w:rPr>
        <w:t>E. 3.3</w:t>
      </w:r>
    </w:p>
    <w:p>
      <w:r>
        <w:t>Dem an die Beschwerdeführerin M. gerichteten Schreiben der Ausgleichskasse vom 17. März 1997 kommt materiell Verfügungsgehalt zu, indem der Adressatin darin, unter Einräumung einer 30-tägigen Frist zum Einspruch gemäss Art. 81 Abs. 3 AHVV , eröffnet wird, dass sie für den erlittenen Schaden als Erbin des nach Art. 52 AHVG haftpflichtig erachteten I. ins Recht gefasst wird. Am Verfügungscharakter ändert nichts, dass die Ausgleichskasse die Bezeichnung Verfügung nicht verwendete, vielmehr festhielt, es handle sich bloss um einen Brief. Die Vorinstanz ist demnach zu Recht auf die Klage der Ausgleichskasse eingetreten, soweit diese gegen die Beschwerdeführerin gerichtet war.</w:t>
      </w:r>
    </w:p>
    <w:p>
      <w:r>
        <w:rPr>
          <w:b/>
        </w:rPr>
        <w:t>E. 3.4</w:t>
      </w:r>
    </w:p>
    <w:p>
      <w:r>
        <w:t>Das kantonale Gericht hat verbindlich festgestellt, dass der von der Ausgleichskasse geltend gemachte Schaden im Betrag von Fr. 12'764.60 darauf beruht, dass die Aktiengesellschaft X. die vierteljährlichen Pauschalzahlungen gemäss Art. 34 Abs. 3 AHVV sowie die Schlussabrechnung (vom 29. Januar 1996) für das Jahr 1995 nicht bezahlt hat.</w:t>
      </w:r>
    </w:p>
    <w:p>
      <w:r>
        <w:rPr>
          <w:b/>
        </w:rPr>
        <w:t>E. 3.4.1</w:t>
      </w:r>
    </w:p>
    <w:p>
      <w:r>
        <w:t>Soweit der Schaden nicht geleistete Pauschalzahlungen betrifft, sind die weiteren Tatbestandselemente für eine Haftung nach Art. 52 AHVG in der Person des Erblassers I. erfüllt. Es kann hiefür auf die einlässlichen und in allen Teilen überzeugenden Erwägungen der Vorinstanz verwiesen werden. Weil mit der rechtzeitigen Geltendmachung der Schadenersatzforderung der Anspruch während der Rechtshängigkeit der Klage ein für alle Mal gewahrt bleibt (ZAK 1991 S. 129 Erw. 2c), kann von einer im erstinstanzlichen Verfahren eingetretenen Verwirkung keine Rede sein. Die Verwaltungsgerichtsbeschwerde der Beschwerdeführerin ist insoweit unbegründet und es ist festzustellen, dass sie für die nicht geleisteten Pauschalzahlungen schadenersatzpflichtig ist.</w:t>
      </w:r>
    </w:p>
    <w:p>
      <w:r>
        <w:rPr>
          <w:b/>
        </w:rPr>
        <w:t>E. 3.4.2</w:t>
      </w:r>
    </w:p>
    <w:p>
      <w:r>
        <w:t>Eine Eigenheit des Pauschalverfahrens gemäss Art. 34 Abs. 3 AHVV (in der hier anwendbaren, bis 31. Dezember 2000 gültig gewesenen Fassung) liegt darin, dass der Ausgleich zwischen den geleisteten Akontobeiträgen und den tatsächlich geschuldeten Beiträgen am Ende des Kalenderjahres erfolgt. Ermittelt die Kasse, dass Beiträge auszugleichen sind, stellt sie ihre entsprechende BGE 129 V 300 S. 304 Forderung in Rechnung. Nach Art. 41bis Abs. 2 lit. d AHVV (in der bis 31. Dezember 2000 geltenden Fassung) beginnt der Zinsenlauf für Beiträge aufgrund von Jahresabrechnungen im Sinne von Art. 34 Abs. 3 AHVV mit dem Kalendermonat, welcher der Rechnungsstellung durch die Ausgleichskasse folgt. Bei dieser Gesetzeslage kann - entgegen der Vorinstanz - nicht gestützt auf Art. 34 Abs. 4 AHVV (in der bis 31. Dezember 2000 gültig gewesenen Fassung), wonach die für die Zahlungsperiode geschuldeten Beiträge mit deren Ablauf fällig und innert zehn Tagen zu zahlen sind, geschlossen werden, dass ausstehende Beiträge ohne Rechnungsstellung jeweils am 10. Januar des nachfolgenden Jahres zu bezahlen sind. Die Zahlungs- wie die Verzugszinspflicht betreffend die auszugleichenden Beiträge setzen vielmehr voraus, dass die entsprechende Forderung - grundsätzlich wie masslich - feststeht und dem Schuldner gegenüber geltend gemacht wurde (ZAK 1992 S. 247 Erw. 4). Weil die Schlussabrechnung (vom 29. Januar 1996) erst nach dem Tod des I. (am 18. Januar 1996) erging, besteht nach dem Gesagten insoweit mangels Widerrechtlichkeit und Verschuldens in der Person des Erblassers keine Schadenersatzpflicht gemäss Art. 52 AHVG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