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283</w:t>
      </w:r>
    </w:p>
    <w:p>
      <w:r>
        <w:t>Bundesgericht (BGE), 2003-01-01, FR</w:t>
      </w:r>
    </w:p>
    <w:p>
      <w:r>
        <w:rPr>
          <w:b/>
        </w:rPr>
        <w:t xml:space="preserve">Quelle: </w:t>
      </w:r>
      <w:r>
        <w:t>https://mcp.opencaselaw.ch/entscheid/bge_BGE_129_V_283</w:t>
      </w:r>
    </w:p>
    <w:p>
      <w:r>
        <w:t>FR: ATF 129 V 283</w:t>
      </w:r>
    </w:p>
    <w:p>
      <w:r>
        <w:t>IT: DTF 129 V 283</w:t>
      </w:r>
    </w:p>
    <w:p>
      <w:pPr>
        <w:pStyle w:val="Heading2"/>
      </w:pPr>
      <w:r>
        <w:t>Regeste</w:t>
      </w:r>
    </w:p>
    <w:p>
      <w:r>
        <w:t>Regeste Art. 19 Abs. 3 UVG; Art. 30 Abs. 1 lit. b UVV. Unter negativem Entscheid der IV über die berufliche Eingliederung ist ein vollziehbarer Entscheid zu verstehen. Im konkreten Fall ist der Anspruch auf die Übergangsrente mit dem Eintritt der Rechtskraft des die Frage nach Eingliederungsmassnahmen betreffenden Beschwerdeentscheids erloschen.</w:t>
      </w:r>
    </w:p>
    <w:p>
      <w:r>
        <w:t>Regeste Art. 19 al. 3 LAA; art. 30 al. 1 let. b OLAA. Par décision négative de l'AI concernant la réadaptation professionnelle, il faut comprendre une décision exécutoire. In casu, le droit à la rente transitoire s'est éteint lors de l'entrée en force du jugement statuant sur la question desdites mesures de réadaptation.</w:t>
      </w:r>
    </w:p>
    <w:p>
      <w:r>
        <w:t>Regesto Art. 19 cpv. 3 LAINF; art. 30 cpv. 1 lett. b OAINF. Per decisione negativa dell'AI concernente l'integrazione professionale deve intendersi una decisione esecutiva. Nel caso di specie, il diritto alla rendita transitoria si è estinto con la crescita in giudicato della pronuncia statuente sulla questione dei provvedimenti d'integrazione.</w:t>
      </w:r>
    </w:p>
    <w:p>
      <w:pPr>
        <w:pStyle w:val="Heading2"/>
      </w:pPr>
      <w:r>
        <w:t>Erwägungen</w:t>
      </w:r>
    </w:p>
    <w:p>
      <w:r>
        <w:rPr>
          <w:b/>
        </w:rPr>
        <w:t>E. 4</w:t>
      </w:r>
    </w:p>
    <w:p>
      <w:r>
        <w:t>Dans son recours, la Winterthur soutient aussi que la rente transitoire ne doit être versée que jusqu'au moment où l'AI rend sa décision sur les mesures de réadaptation d'ordre professionnel, et non BGE 129 V 283 S. 284 pas jusqu'à la date à laquelle la décision de l'AI entre effectivement en force. A défaut, l'assuré pourrait prolonger son droit à la rente transitoire de l'assureur-accidents, notamment en usant abusivement de son droit de recours contre la décision de l'AI.</w:t>
      </w:r>
    </w:p>
    <w:p>
      <w:r>
        <w:rPr>
          <w:b/>
        </w:rPr>
        <w:t>E. 4.1</w:t>
      </w:r>
    </w:p>
    <w:p>
      <w:r>
        <w:t>Aux termes de l' art. 30 al. 1 OLAA (dans sa teneur en vigueur depuis le 1er janvier 1998), édicté par le Conseil fédéral en application de l' art. 19 al. 3 LAA ,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 Le droit s'éteint avec la décision négative de l'AI concernant la réadaptation professionnelle (let. b) ou avec la fixation de la rente définitive (let. c). Selon le commentaire de l' art. 30 al. 1 OLAA - nouvelle teneur - donné par l'Office fédéral des assurances sociales, la rente transitoire pouvant faire naître de faux espoirs quant au montant de la rente "définitive", il s'est avéré nécessaire de mieux faire ressortir, aussi bien dans le titre que dans le texte, qu'il ne s'agit en fait que d'une prestation temporaire, qui est fixée provisoirement. L'ancienne réglementation ne déterminait pas le moment à partir duquel la rente transitoire est remplacée par la rente définitive, lorsque, par exemple, l'AI considère, après examen du cas, que des mesures de réadaptation sont inutiles. C'est la raison pour laquelle on précise expressément quand s'éteint la rente transitoire (RAMA 1998 p. 130; cf. aussi au sujet du caractère temporaire MAURER, Schweizerisches Unfallversicherungsrecht, Berne 1985, p. 371). En réalité et comme le montre le présent litige, la précision souhaitée fait défaut dès lors que le texte de l'ordonnance (qui reprend celui de l' art. 19 al. 3 LAA ) ne permet pas de dire - dans aucune des trois versions linguistiques - ce qu'il en est lorsque les mesures de reclassement ont été refusées par l'AI mais que sa décision est portée par la voie du recours devant les instances judiciaires.</w:t>
      </w:r>
    </w:p>
    <w:p>
      <w:r>
        <w:rPr>
          <w:b/>
        </w:rPr>
        <w:t>E. 4.2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BGE 129 V 283 S. 285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128 II 347 consid. 3.5, ATF 128 V 105 consid. 5, 207 consid. 5b et les références). Dans son message à l'appui d'un projet de loi fédérale sur l'assurance-accidents du 18 août 1976, le Conseil fédéral n'avait prévu l'allocation de rentes qu'à partir du moment où les mesures de réadaptation auraient été menées à chef (FF 1976 III 193-194, ad art. 19). Lors de la lecture de l'art. 19 al. 3 du projet de loi, le rapporteur de la commission du Conseil national a relevé qu'il fallait souvent attendre plusieurs mois avant que les organes de l'assurance-invalidité fixent le montant des rentes ou statuent sur les mesures de réadaptation. Aussi a-t-il paru nécessaire à la commission de donner mandat au Conseil fédéral d'édicter des prescriptions afin que l'assureur puisse verser les rentes entre le moment où l'on constate qu'on ne peut plus attendre de la poursuite du traitement médical une sensible amélioration de l'état de santé de l'assuré et le moment où la décision est prise par l'assurance-invalidité (BO CN 1979 pp. 180-181). Si le législateur n'a pas réglé expressis verbis la question du droit à une rente transitoire de l'assureur-accidents durant une éventuelle procédure de recours concernant les mesures de réadaptation de l'assurance-invalidité, il a néanmoins manifesté clairement son intention de garantir le versement de telles rentes aussi bien pendant le déroulement desdites mesures de réadaptation que pendant la période qui va de la fin du traitement médical jusqu'au moment où décision est prise quant à d'éventuelles mesures de réadaptation, cas échéant à la mise en oeuvre de celles-ci. Par ailleurs, on sait que l'obligation de l'assureur-accidents d'allouer ses prestations dépend indubitablement de la décision de l'AI portant sur le droit de l'assuré aux mesures de réadaptation d'ordre professionnel ( art. 19 al. 1 LAA ; PETER OMLIN, Die Invalidität in der obligatorischen Unfallversicherung mit besonderer Berücksichtigung der älteren Arbeitnehmerinnen und Arbeitnehmer, thèse Fribourg 1995, p. 199). Dans ces conditions, le point de vue que défend la Winterthur n'apparaît pas conciliable avec l'intention du législateur et va à l'encontre de la systématique de la loi. En effet, on ne voit pas que la rente transitoire allouée pendant la durée de la procédure menant à BGE 129 V 283 S. 286 la décision de l'AI ne puisse pas concerner la durée totale de cette procédure, y compris lorsqu'il y a recours, faute de quoi l'intention du législateur d'assurer le versement de prestations pendant cette période temporaire et transitoire ne serait pas respectée. On peut relever aussi qu'une telle interprétation peut se fonder en partie sur le texte de la loi dès lors que par décision de l'AI il y a lieu de comprendre décision de l'assurance-invalidité en général et non exclusivement décision de l'office AI, organe particulier de cette assurance. Au demeurant, et si l'on suivait le raisonnement de la Winterthur, l'octroi d'une rente de l'assureur-accidents sitôt que l'office AI a statué négativement sur la question de la réadaptation professionnelle pourrait dans certains cas aboutir à des résultats guère soutenables au regard de la loi, en particulier lorsque la juridiction de recours ordonne des mesures de réadaptation. D'une part, l'assureur-accidents se trouverait alors avoir statué et fixé la rente, contrairement aux exigences de l' art. 19 al. 1 LAA , soit avant que les mesures de réadaptation n'aient été menées à terme; d'autre part, la suppression d'une rente octroyée prématurément serait pour le moins délicate dès lors que les conditions d'une reconsidération ne seraient que difficilement réunies (cf. ATF 127 V 469 consid. 2c et les arrêts cités). Aboutir à un tel résultat s'avérerait contraire à la volonté du législateur.</w:t>
      </w:r>
    </w:p>
    <w:p>
      <w:r>
        <w:rPr>
          <w:b/>
        </w:rPr>
        <w:t>E. 4.3</w:t>
      </w:r>
    </w:p>
    <w:p>
      <w:r>
        <w:t>A l'appui de son recours, la Winterthur invoque encore le risque d'abus résultant de l'utilisation des voies de recours aux fins de bénéficier d'une rente transitoire de l'assureur-accidents pendant une période relativement longue. Selon l' art. 30 al. 1 OLAA , cette prestation est fixée pratiquement sur les mêmes bases que la rente d'invalidité, soit en fonction de l'incapacité de gain qui est déterminée à la suite d'une comparaison de revenus. La différence réside dans le fait qu'est prise en considération l'activité qui peut raisonnablement être exigée de la part d'un assuré non encore réadapté, compte tenu d'une situation équilibrée du marché du travail ( ATF 116 V 246 ). Dans ces conditions, le risque d'abus qui apparaît comme faible voire inexistant, ne saurait au demeurant justifier une interprétation différente de la loi.</w:t>
      </w:r>
    </w:p>
    <w:p>
      <w:r>
        <w:rPr>
          <w:b/>
        </w:rPr>
        <w:t>E. 4.4</w:t>
      </w:r>
    </w:p>
    <w:p>
      <w:r>
        <w:t>Il s'ensuit que par décision négative de l'AI concernant la réadaptation professionnelle, au sens de l' art. 30 al. 1 let. b OLAA , il faut comprendre une décision exécutoire. Le droit de l'assuré à la rente transitoire s'est donc éteint lorsque le jugement de la Commission fédérale de recours en matière d'AVS/AI pour les personnes BGE 129 V 283 S. 287 résidant à l'étranger du 6 décembre 1999 est entré en force, soit à l'échéance d'un délai de trente jours après notification (GYGI, Bundesverwaltungsrechtspflege, 2ème édition, Berne 1983, p. 233; KÖLZ/HÄNER, Verwaltungsverfahren und Verwaltungsrechtspflege des Bundes, 2ème édition, Zurich 1998, p. 190 ch. 714; KÖLZ/BOSSHART/RÖHL, Kommentar zum Verwaltungsrechtspflegegesetz des Kantons Zürich, 2ème édition, Zurich 1999, p. 750). En l'occurrence, ce jugement a été notifié le 23 décembre 1999 au mandataire de l'assuré, de sorte qu'il est devenu exécutoire le 2 février 2000 ( ATF 122 V 60 ). En conséquence, la rente transitoire sera versée jusqu'à fin février 2000 ( art. 19 al. 2 LAA ). Le jugement attaqué sera, sur ce point, réformé à l'avantage de A. ( art. 132 let .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