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27</w:t>
      </w:r>
    </w:p>
    <w:p>
      <w:r>
        <w:t>Bundesgericht (BGE), 2002-01-01, DE</w:t>
      </w:r>
    </w:p>
    <w:p>
      <w:r>
        <w:rPr>
          <w:b/>
        </w:rPr>
        <w:t xml:space="preserve">Quelle: </w:t>
      </w:r>
      <w:r>
        <w:t>https://mcp.opencaselaw.ch/entscheid/bge_BGE_129_V_27</w:t>
      </w:r>
    </w:p>
    <w:p>
      <w:r>
        <w:t>FR: ATF 129 V 27</w:t>
      </w:r>
    </w:p>
    <w:p>
      <w:r>
        <w:t>IT: DTF 129 V 27</w:t>
      </w:r>
    </w:p>
    <w:p>
      <w:pPr>
        <w:pStyle w:val="Heading2"/>
      </w:pPr>
      <w:r>
        <w:t>Regeste</w:t>
      </w:r>
    </w:p>
    <w:p>
      <w:r>
        <w:t>Regeste Art. 73 BVG: Aufforderung zur Verbesserung einer Rechtsschrift. Von Bundesrechts wegen besteht keine Pflicht des kantonalen Berufsvorsorgegerichts, die versicherte Person zur Verbesserung einer formell ungenügenden Klage aufzufordern.</w:t>
      </w:r>
    </w:p>
    <w:p>
      <w:r>
        <w:t>Regeste Art. 73 LPP: Invitation à parfaire une écriture. Le droit fédéral n'impose pas à l'autorité judiciaire cantonale compétente en matière de prévoyance professionnelle d'inviter l'assuré à régulariser une demande insuffisante à la forme.</w:t>
      </w:r>
    </w:p>
    <w:p>
      <w:r>
        <w:t>Regesto Art. 73 LPP: Invio a emendare un allegato. Il diritto federale non impone all'autorità giudiziaria cantonale competente in materia di previdenza professionale di invitare l'assicurato a emendare una petizione formalmente insufficiente.</w:t>
      </w:r>
    </w:p>
    <w:p>
      <w:pPr>
        <w:pStyle w:val="Heading2"/>
      </w:pPr>
      <w:r>
        <w:t>Erwägungen</w:t>
      </w:r>
    </w:p>
    <w:p>
      <w:r>
        <w:rPr>
          <w:b/>
        </w:rPr>
        <w:t>E. 2.1</w:t>
      </w:r>
    </w:p>
    <w:p>
      <w:r>
        <w:t>Das Bundesrecht enthält für das kantonale Verfahren in Berufsvorsorgesachen eine einzige Bestimmung, Art. 73 BVG , welche sowohl im Obligatoriums- ( Art. 6 BVG ) als auch im weitergehenden Berufsvorsorgebereich ( Art. 49 Abs. 2 BVG ) beachtlich ist. Nach dessen Abs. 1 bezeichnet jeder Kanton ein Gericht, das als letzte kantonale Instanz über Streitigkeiten zwischen Vorsorgeeinrichtungen, Arbeitgebern und Anspruchsberechtigten entscheidet (Satz 1). Die Kantone sehen ein einfaches, rasches und in der Regel kostenloses Verfahren vor; der Richter stellt den Sachverhalt von Amtes wegen fest (Abs. 2). Der restliche Normgehalt des Art. 73 BVG betrifft die örtliche Zuständigkeit (Abs. 3) und unterwirft die kantonalen Entscheide dem Rechtsmittel der Verwaltungsgerichtsbeschwerde an das Eidgenössische Versicherungsgericht (Abs. 4).</w:t>
      </w:r>
    </w:p>
    <w:p>
      <w:r>
        <w:rPr>
          <w:b/>
        </w:rPr>
        <w:t>E. 2.1.1</w:t>
      </w:r>
    </w:p>
    <w:p>
      <w:r>
        <w:t>Soweit die Versicherte mit ihrer Eingabe vom 17. März 2002 an das kantonale Gericht die ihr von der Pensionskasse mit Schreiben vom 26. Februar 2002 angedrohte Rückerstattung der vom 1. September 2000 bis 31. Januar 2002 bezogenen Pensionskassenrenten BGE 129 V 27 S. 30 beanstandet hat, ist das Nichteintreten des kantonalen Gerichts ohne weiteres bundesrechtskonform. Das Nichteintreten trägt dem Rechtsumstand Rechnung, dass die Vorsorgeeinrichtungen im Rahmen von Art. 73 BVG praxisgemäss ( BGE 115 V 224 und seitherige ständige Rechtsprechung) keine Verfügungskompetenz besitzen - welche als Anfechtungsobjekt eines Rechtsmittels in Betracht fiele - und dass für die - allfällige - rechtliche Durchsetzung des Rückerstattungsanspruches einzig die Pensionskasse von Appenzell Ausserrhoden aktivlegitimiert (SZS 1998 S. 447) ist. Eine negative Feststellungsklage seitens der Versicherten, des Inhalts, dass sie der Pensionskasse nichts schulde, scheidet mangels der hiefür erforderlichen Voraussetzungen (in BGE 128 III 142 nicht publizierte Erw. 2 [4C. 324/2001]) aus. Demzufolge ist die richterliche Prüfung der Begründetheit dieses Rückerstattungsanspruches einem Urteil vorbehalten, welches auf eine entsprechende Klage der Pensionskasse hin zu ergehen hätte, eine Klage, welche die Pensionskasse hier nach Lage der Akten jedoch bisher nicht erhoben hat.</w:t>
      </w:r>
    </w:p>
    <w:p>
      <w:r>
        <w:rPr>
          <w:b/>
        </w:rPr>
        <w:t>E. 2.1.2</w:t>
      </w:r>
    </w:p>
    <w:p>
      <w:r>
        <w:t>Allein unter dem Gesichtswinkel des Art. 73 BVG betrachtet ist sodann bundesrechtlich ebenfalls unbedenklich, dass das kantonale Gericht auch insoweit auf die Eingabe vom 17. März 2002 nicht eingetreten ist, als darin die weitere Auszahlung der Pensionskassenrente (über den 31. Januar 2002 hinaus) beantragt, jedoch seitens der Versicherten nicht hinreichend sachbezogen begründet worden war. Denn Art. 73 BVG verpflichtet das kantonale Berufsvorsorgegericht nicht, der klagenden berufsvorsorgeversicherten Person Gelegenheit zur Verbesserung der Klage einzuräumen, verbunden mit der Androhung, dass im Unterlassungsfall auf das Rechtsmittel nicht eingetreten werde.</w:t>
      </w:r>
    </w:p>
    <w:p>
      <w:r>
        <w:rPr>
          <w:b/>
        </w:rPr>
        <w:t>E. 2.2</w:t>
      </w:r>
    </w:p>
    <w:p>
      <w:r>
        <w:t>Damit bleibt zu prüfen, ob sich eine entsprechende Verpflichtung des kantonalen Berufsvorsorgegerichts sonst aus dem Bundesrecht, insbesondere dem Bundesverfassungsrecht, ergibt. Dies ist unter allen in Frage kommenden Rechtstiteln zu verneinen: Eine analogieweise Anwendung von Art. 85 Abs. 2 lit. b AHVG (Nachfristansetzung im Beschwerdeverfahren) fällt mangels gesetzlicher Grundlage, einer Verweisungsnorm oder hinreichend gleichgelagerter Verhältnisse, welche den Analogieschluss ohne gesetzliche Grundlage gebieten würden (dazu BGE 125 III 128 ff. Erw. 1d und e, BGE 122 III 414 f. Erw. 2b), ausser Betracht. Die Pflicht, der klagenden Person Gelegenheit zur Verbesserung ihres Rechtsmittels einzuräumen, kann auch nicht als in der Garantie eines einfachen BGE 129 V 27 S. 31 Verfahrens enthaltene Anforderung betrachtet werden. Das ist schon daraus ersichtlich, dass das Bundesrecht zwischen der Einfachheitsanforderung (vgl. z.B. Art. 85 Abs. 2 lit. a AHVG ) und der Pflicht zur Nachfristansetzung/Verbesserungsaufforderung (vgl. z.B. Art. 85 Abs. 2 lit. b AHVG ) unterscheidet. Es bedürfte der letzteren Bestimmungen nicht, wenn deren Inhalt schon von der Einfachheitsgarantie erfasst wäre. Der bundesverfassungsrechtliche ( Art. 29 Abs. 1 BV ) und konventionsrechtliche ( Art. 6 Abs. 1 EMRK ) Schutz der Justizgewährleistung sodann ist von vornherein nicht betroffen, weil es der rechtsuchenden Person im Anschluss an einen - zufolge Nichterfüllung der formellen Klagevoraussetzungen - ergangenen Nichteintretensentscheid freisteht, von neuem Klage zu erheben. Dieses Recht zur Klageeinreichung ist durch nichts anderes begrenzt als durch die materiellrechtlichen Verjährungsfristen ( Art. 41 BVG ).</w:t>
      </w:r>
    </w:p>
    <w:p>
      <w:r>
        <w:rPr>
          <w:b/>
        </w:rPr>
        <w:t>E. 2.3</w:t>
      </w:r>
    </w:p>
    <w:p>
      <w:r>
        <w:t>Hingegen ergibt sich eine Pflicht, dem Versicherten Gelegenheit zur Verbesserung der unzureichenden Klage zu geben, aus dem kantonalen Recht. So schreibt etwa § 173 Abs. 2 ZPO /AG vor, dass der Instruktionsrichter im Rahmen der Klageprüfung den Kläger auf Mängel aufmerksam macht und ihm für die Verbesserung oder den Rückzug der Klage eine kurze Frist einräumt (§ 173 Abs. 1 in Verbindung mit § 167 ZPO /AG). Im appenzell-ausserrhodischen Zivilprozessrecht, welches auf das Klageverfahren in Berufsvorsorgestreitigkeiten vor Verwaltungsgericht ergänzend anwendbar ist, verhält es sich nicht anders (Art. 13 lit. f in Verbindung mit Art. 14 Abs. 3 des Gesetzes über die Verwaltungsgerichtsbarkeit [Bereinigte (systematische) Gesetzessammlung des Kantons Appenzell Ausserrhoden, bGS, 143.6] und Art. 134 Abs. 2 und 3 Zivilprozessordnung [bGS 231.1]). Indessen entspringt diese von Amtes wegen vorzunehmende Prüfung der formellen Klagevoraussetzungen (vgl. BÜHLER/EDELMANN/KILLER, Kommentar zur aargauischen Zivilprozessordnung: Zivilrechtspflegegesetz [Zivilprozessordnung, ZPO] vom 18. Dezember 1984, Aarau 1998, N 3 zu § 173) dem kantonalen Recht. Dessen Missachtung stellt keine Bundesrechtsverletzung ( Art. 104 lit. a OG ) dar. Der vorinstanzliche Nichteintretensentscheid hält daher vor der Verwaltungsgerichtsbeschwerde des BSV auch unter diesem rechtlichen Gesichtswinkel stand, ganz abgesehen davon, dass das BSV nicht mit der Massgeblichkeit des kantonalen Verfahrensrechts argumentiert. Bei dieser Rechtslage ist die Verwaltungsgerichtsbeschwerde des BSV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