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267</w:t>
      </w:r>
    </w:p>
    <w:p>
      <w:r>
        <w:t>Bundesgericht (BGE), 2003-01-01, FR</w:t>
      </w:r>
    </w:p>
    <w:p>
      <w:r>
        <w:rPr>
          <w:b/>
        </w:rPr>
        <w:t xml:space="preserve">Quelle: </w:t>
      </w:r>
      <w:r>
        <w:t>https://mcp.opencaselaw.ch/entscheid/bge_BGE_129_V_267</w:t>
      </w:r>
    </w:p>
    <w:p>
      <w:r>
        <w:t>FR: ATF 129 V 267</w:t>
      </w:r>
    </w:p>
    <w:p>
      <w:r>
        <w:t>IT: DTF 129 V 267</w:t>
      </w:r>
    </w:p>
    <w:p>
      <w:pPr>
        <w:pStyle w:val="Heading2"/>
      </w:pPr>
      <w:r>
        <w:t>Regeste</w:t>
      </w:r>
    </w:p>
    <w:p>
      <w:r>
        <w:t>Regeste Art. 5 Abs. 2 KVG; Art. 8 KVV; Art. 95 UVG: Sanktion bei verspätetem Versicherungsbeitritt. Der Prämienzuschlag nach Art. 5 Abs. 2 KVG darf nicht in Form eines einmaligen Beitrags erhoben werden, sondern ist als Zuschlag zu den monatlichen Prämien der obligatorischen Krankenversicherung zu entrichten. Das Fehlen einer für die Erhebung des Prämienzuschlags im Gesetz festgelegten Maximaldauer stellt keine Gesetzeslücke dar, erfasst die Kompetenzdelegation an den Bundesrat doch auch die Zuständigkeit zur Regelung der Frage nach dem Verhältnis zwischen der Dauer des verspäteten Versicherungsbeitritts und derjenigen der Sanktion. Soweit die Erhebungsdauer, welche nach Art. 8 Abs. 1 KVV der doppelten Dauer des verspäteten Versicherungsbeitritts entspricht, zu einer Sanktion führt, welche zu der diese rechtfertigenden Unterlassung nicht mehr in einem vernünftigen Verhältnis steht (i.c. Erhebungsdauer von elf Jahren), ist die in Art. 95 UVG für eine vergleichbare Sanktion vorgesehene Frist von fünf Jahren analog anwendbar.</w:t>
      </w:r>
    </w:p>
    <w:p>
      <w:r>
        <w:t>Regeste Art. 5 al. 2 LAMal; art. 8 OAMal; art. 95 LAA: Sanction en cas de retard d'affiliation. La surprime de l'art. 5 al. 2 LAMal ne doit pas être perçue sous la forme d'une prime unique, mais comme un supplément aux primes mensuelles de l'assurance-maladie obligatoire. L'absence de durée maximale à la perception de la surprime fixée dans la loi ne constitue pas une lacune de cette dernière, la délégation de compétence au Conseil fédéral emportant celle de régler la question du rapport entre la durée du retard et celle de la sanction. Dans la mesure où l'exécution de la sanction durant une période double du retard d'affiliation, conformément à l'art. 8 al. 1 OAMal, peut aboutir à une sanction dont la durée n'est plus dans un rapport raisonnable avec l'omission qui la justifie (i.c. perception d'une surprime durant onze ans), il convient d'appliquer par analogie le délai de cinq ans prévu par l'art. 95 LAA pour une sanction similaire.</w:t>
      </w:r>
    </w:p>
    <w:p>
      <w:r>
        <w:t>Regesto Art. 5 cpv. 2 LAMal; art. 8 OAMal; art. 95 LAINF: Sanzione in caso di affiliazione tardiva. Il supplemento di premio giusta l'art. 5 cpv. 2 LAMal non può essere percepito sotto forma di premio unico, bensì come supplemento ai premi mensili dell'assicurazione malattia obbligatoria. L'assenza di una durata massima per il prelievo del supplemento stabilito dalla legge non costituisce una lacuna di quest'ultima, la delega di competenza al Consiglio federale implicando anche quella di disciplinare la questione del rapporto tra la durata del ritardo e la durata della sanzione. Nella misura in cui il supplemento di premio, che, a norma dell'art. 8 cpv. 1 OAMal, è riscosso per una durata pari al doppio di quella del ritardo d'affiliazione, conduce a una sanzione che non è più ragionevolmente giustificata dall'omissione (i.c. supplemento di premio per undici anni), conviene applicare per analogia il termine di cinque anni previsto dall'art. 95 LAINF per una sanzione simile.</w:t>
      </w:r>
    </w:p>
    <w:p>
      <w:pPr>
        <w:pStyle w:val="Heading2"/>
      </w:pPr>
      <w:r>
        <w:t>Erwägungen</w:t>
      </w:r>
    </w:p>
    <w:p>
      <w:r>
        <w:rPr>
          <w:b/>
        </w:rPr>
        <w:t>E. 1.1</w:t>
      </w:r>
    </w:p>
    <w:p>
      <w:r>
        <w:t>Le litige a pour objet l'obligation de l'assuré de s'acquitter de la somme de 9'616 fr. à titre de supplément de prime en raison de la tardiveté de son affiliation à l'assurance-maladie obligatoire. BGE 129 V 267 S. 269</w:t>
      </w:r>
    </w:p>
    <w:p>
      <w:r>
        <w:rPr>
          <w:b/>
        </w:rPr>
        <w:t>E. 1.2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loi fédérale sur la partie générale du droit des assurances sociales (LPGA), du 6 octobre 2000, est entrée en vigueur le 1er janvier 2003 et a entraîné la modification de nombreuses dispositions dans le domaine de l'assurance-maladie obligatoire. La législation en vigueur jusqu'au 31 décembre 2002 demeure cependant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 ATF 127 V 467 consid. 1, ATF 126 V 166 consid. 4b), les faits sur lesquels le Tribunal fédéral des assurances peut être amené à se prononcer dans le cadre d'une procédure de recours de droit administratif étant par ailleurs ceux qui se sont produits jusqu'au moment de la décision sur opposition litigieuse (i.c. du 6 novembre 2001) ( ATF 121 V 366 consid. 1b).</w:t>
      </w:r>
    </w:p>
    <w:p>
      <w:r>
        <w:rPr>
          <w:b/>
        </w:rPr>
        <w:t>E. 3.1</w:t>
      </w:r>
    </w:p>
    <w:p>
      <w:r>
        <w:t>Conformément à l' art. 5 LAMal (début et fin de la couverture d'assurance), lorsque l'affiliation a lieu dans les délais prévus à l'art. 3, al. 1, l'assurance déploie ses effets dès la naissance ou la prise de domicile en Suisse. Le Conseil fédéral fixe le début de la couverture d'assurance pour les personnes désignées à l'art. 3, al. 3 (al. 1 ).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 Le supplément de prime prévu par l'al. 2 de l' art. 5 LAMal est destiné à exercer un effet dissuasif sur toute personne qui serait tentée BGE 129 V 267 S. 270 d'abuser du système en n'y adhérant qu'au moment où elle a besoin de soins coûteux ou devient plus exposée à la maladie (Message du Conseil fédéral concernant la révision de l'assurance-maladie, du 6 novembre 1991, FF 1992 I 77 ss spéc. 125). Corrélée à une couverture d'assurance qui ne débute qu'avec l'affiliation (al. 2) et conditionnée par le caractère inexcusable du retard - mais où la situation de l'assuré et les circonstances du retard doivent être pris en compte en cas de gêne -, il s'agit d'une pure sanction administrative (MAURER, Das neue Krankenversicherungsrecht, Bâle 1996, p. 39 [ci-après: MAURER, Krankenversicherungsrecht]). Elle complète l'arsenal législatif destiné à rendre effective l'obligation d'assurance (v. le titre 2, chapitre premier, art. 3 ss LAMal , spéc. l'art. 6), la loi punissant, par ailleurs, de l'emprisonnement ou de l'amende quiconque se sera dérobé, partiellement ou totalement à l'obligation de s'assurer, par des indications fausses ou incomplètes ou de toute autre manière ( art. 92 let. a LAMal ).</w:t>
      </w:r>
    </w:p>
    <w:p>
      <w:r>
        <w:rPr>
          <w:b/>
        </w:rPr>
        <w:t>E. 3.2</w:t>
      </w:r>
    </w:p>
    <w:p>
      <w:r>
        <w:t>Faisant usage de la compétence qui lui a été déléguée ( art. 5 al. 2 LAMal ), le Conseil fédéral a édicté l' art. 8 OAMal (Supplément de prime en cas d'affiliation tardive). Aux termes de cette disposition, le supplément de prime prévu à l'art. 5, al. 2, de la loi est prélevé pour le double de la durée du retard d'affiliation. Il se situe entre 30 et 50% de la prime. L'assureur fixe le supplément en fonction de la situation financière de l'assuré. Si le paiement du supplément met celui-ci dans la gêne, l'assureur fixe un taux inférieur à 30%, en tenant compte équitablement de la situation de l'assuré et des circonstances du retard (al. 1). Il n'est pas perçu de supplément lorsque les primes sont prises en charge par l'autorité compétente d'aide sociale (al. 2).</w:t>
      </w:r>
    </w:p>
    <w:p>
      <w:r>
        <w:rPr>
          <w:b/>
        </w:rPr>
        <w:t>E. 3.3</w:t>
      </w:r>
    </w:p>
    <w:p>
      <w:r>
        <w:t>L' art. 5 al. 2 LAMal ne permet pas la perception de primes arriérées, mais impose la fixation par l'assureur à l'assuré qui s'est affilié tardivement d'une prime supérieure à celle de ses autres assurés (Message du Conseil fédéral, loc. cit.). Aussi la sanction n'a-t-elle, d'emblée, pas été conçue sous la forme d'une prime unique exigible à l'affiliation, mais comme un supplément aux primes mensuelles (GEBHARD EUGSTER, Krankenversicherung, in: Schweizerisches Bundesverwaltungsrecht [SBVR], Soziale Sicherheit, ch. 49), dont la durée de perception (Erhebungsdauer dans le texte allemand de l' art. 8 al. 1 OAMal ) correspond au double de la durée du retard d'affiliation mais à un taux n'excédant pas 50%. BGE 129 V 267 S. 271</w:t>
      </w:r>
    </w:p>
    <w:p>
      <w:r>
        <w:rPr>
          <w:b/>
        </w:rPr>
        <w:t>E. 4.1.1</w:t>
      </w:r>
    </w:p>
    <w:p>
      <w:r>
        <w:t>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 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128 II 40 consid. 3b, 252 consid. 3.3, ATF 128 IV 180 consid. 2.1, ATF 128 V 98 consid. 5a, 105 consid. 6a et les références).</w:t>
      </w:r>
    </w:p>
    <w:p>
      <w:r>
        <w:rPr>
          <w:b/>
        </w:rPr>
        <w:t>E. 4.1.2</w:t>
      </w:r>
    </w:p>
    <w:p>
      <w:r>
        <w:t>L'exigence de proportionnalité que la disposition réglementaire tend à concrétiser (EUGSTER, op. cit., ch. 26, pp. 13 s.), qui est au demeurant inhérente à toute sanction, suppose, d'une part, que le moyen utilisé soit propre à atteindre le but recherché et apparaisse nécessaire au regard de la fin envisagée et, d'autre part, qu'il existe un rapport raisonnable entre le résultat prévu et les restrictions de liberté qu'il nécessite ( ATF 125 I 223 consid. 10d/aa, 482 consid. 3, ATF 125 V 242 consid. 6b et les références). Cette exigence s'impose non seulement quant au montant de la surprime, mais également en relation avec la durée pendant laquelle l'assuré devra s'en acquitter à titre de sanction. Aussi convient-il d'examiner la conformité de l'ordonnance au droit fédéral sous ces deux aspects.</w:t>
      </w:r>
    </w:p>
    <w:p>
      <w:r>
        <w:rPr>
          <w:b/>
        </w:rPr>
        <w:t>E. 4.2.1</w:t>
      </w:r>
    </w:p>
    <w:p>
      <w:r>
        <w:t>Fondée sur une délégation de compétence précise, dont l'objet est la fixation de taux indicatifs, la réglementation de l'ordonnance tient compte de la durée et des circonstances du retard, de la situation financière de l'assuré et, en particulier, du risque que ce dernier tombe dans la gêne en raison du paiement de la surprime. En BGE 129 V 267 S. 272 fixant la durée de la perception au double de la durée du retard et le taux du supplément au plus à 50% de la prime, l' art. 8 al. 1 OAMal limite le montant de la surprime à une somme maximale équivalent globalement à celle "économisée" par l'assuré durant le temps où il n'a pas été affilié; la surprime ainsi calculée sur la base de la prime d'assurance prend en considération, conformément au mandat légal, le niveau des primes au lieu de résidence de l'assuré. Quant à sa quotité, les fourchettes dans lesquelles son montant peut être fixé, soit 30 à 50% dans la norme et 0 à 30% en cas de gêne, laissent aux caisses appelées à statuer un large pouvoir d'appréciation, qui permet, en tenant compte de la situation financière de l'intéressé et des circonstances du retard, de prononcer une sanction appropriée. Dans cette mesure, la disposition réglementaire respecte le cadre de la norme de délégation et le principe de proportionnalité en relation avec la fixation du montant de la surprime.</w:t>
      </w:r>
    </w:p>
    <w:p>
      <w:r>
        <w:rPr>
          <w:b/>
        </w:rPr>
        <w:t>E. 4.2.2</w:t>
      </w:r>
    </w:p>
    <w:p>
      <w:r>
        <w:t>Conçue comme un supplément à la prime courante (v. supra consid. 3.3) - ce qui justifie, au demeurant, que l'al. 2 de l' art. 8 OAMal précise que le supplément n'est pas perçu lorsque les primes sont prises en charge par l'autorité compétente d'aide sociale - pour une période (Erhebungsdauer) correspondant à un multiple de celle de la lacune de couverture d'assurance, la sanction peut être appelée à déployer ses effets dans la durée. Aussi peut-on s'étonner que ni la loi ni l'ordonnance ne fixent une limite temporelle à sa perception. La délégation de compétence au Conseil fédéral prévue par l' art. 5 al. 2 LAMal portant sur la fixation de taux indicatifs tenant compte, notamment, de la durée du retard, il faut admettre que le législateur a délégué le soin de régler la question du rapport entre la durée du retard et celle de la sanction au Conseil fédéral. Aussi n'est-il pas nécessaire d'examiner si le non-plafonnement de la durée de la sanction constitue une lacune, proprement dite ou non, de la loi (cf. ATF 122 I 255 consid. 6a, ATF 121 III 225 consid. 1d/aa) et si les conditions auxquelles le juge peut combler une lacune de la loi sont réunies (cf. ATF 127 V 41 consid. 4b/cc, ATF 123 V 130 consid. 2, 121 III 226, ATF 121 V 176 consid. 4d, ATF 119 V 254 ss consid. 3b et les références citées). Il suffit, en effet, de constater que l'application de la norme réglementaire peut aboutir au prononcé de sanctions dont la durée n'est plus dans un rapport raisonnable avec l'omission fautive qui les justifient - elles violent, partant, l'exigence constitutionnelle de proportionnalité ( art. 36 al. 3 Cst. ) - et que la règle de l' art. 8 al. 1 OAMal ne peut, partant, être appliquée dans tous les cas sans correctif. BGE 129 V 267 S. 273 Le cas d'espèce, dans lequel l'obligation d'assurance a été violée soixante-six mois durant et où, partant, la sanction devrait être infligée pendant 132 mois, soit onze ans, est, à cet égard, exemplaire.</w:t>
      </w:r>
    </w:p>
    <w:p>
      <w:r>
        <w:rPr>
          <w:b/>
        </w:rPr>
        <w:t>E. 4.3</w:t>
      </w:r>
    </w:p>
    <w:p>
      <w:r>
        <w:t>La perception de (sur)primes d'assurance à titre de sanction administrative en cas de violation d'une obligation d'assurance est également prévue dans le domaine de l'assurance-accidents obligatoire (v. MAURER, Schweizerisches Unfallversicherungsrecht, Berne 1985, p. 580). Conformément à l' art. 95 al. 1 LAA (Primes spéciales), si l'employeur n'a pas assuré ses travailleurs, n'a pas annoncé à la Caisse nationale suisse d'assurance en cas d'accidents (CNA) l'ouverture de son entreprise ou, de toute autre manière, s'est dérobé à son obligation de payer les primes, la CNA ou la caisse supplétive perçoit auprès de lui, pour la durée de son omission, mais pour cinq ans au plus, des primes spéciales s'élevant au montant des primes dues. Ce montant est doublé lorsque d'une manière inexcusable, l'employeur s'est dérobé à l'obligation d'assurer ses travailleurs ou de payer les primes. En cas de récidive de la part de l'employeur, les primes spéciales peuvent être d'un montant de trois à dix fois celui des primes dues. Lorsque le montant des primes spéciales s'élève au montant simple des primes dues, des intérêts moratoires sont perçus. L'employeur ne peut déduire les primes spéciales du salaire des travailleurs. La similitude des problématiques réglées (la sanction en cas de retard d'affiliation) et des solutions données respectivement par les art. 5 al. 2 LAMal et 95 LAA (une surprime) justifie que l'on applique par analogie au supplément de prime de la LAMal le délai maximal de cinq ans applicable à la prime spéciale de l' art. 95 LAA . Ce délai correspond, du reste, quant à sa durée, à celui de l' art. 94 al. 1 LAA (sur l'application par analogie de cette disposition dans le domaine de la LAMal, v. MAURER, Krankenversicherungsrecht, pp. 145 s.) relatif au paiement des arriérés de primes dans l'assurance-accidents obligatoire.</w:t>
      </w:r>
    </w:p>
    <w:p>
      <w:r>
        <w:rPr>
          <w:b/>
        </w:rPr>
        <w:t>E. 5.1</w:t>
      </w:r>
    </w:p>
    <w:p>
      <w:r>
        <w:t>En l'espèce, le montant de la sanction a été fixé par la caisse selon le décompte suivant: Nombre de mois écoulés depuis le 01.01.1996 66 mois Doublement de la durée du retard d'affiliation Nombre de mois pris en compte 132 mois BGE 129 V 267 S. 274 Cotisation mensuelle de l'assurance obligatoire des soins prise en considération du 01.01.96 au 31.12.96 fr. 126.- du 01.01.97 au 31.12.97 fr. 140.- du 01.01.98 au 31.12.98 fr. 140.- du 01.01.99 au 31.12.99 fr. 140.- du 01.01.00 au 31.12.00 fr. 150.- du 01.01.01 au 30.06.01 fr. 158.- Pourcentage fixé par la loi 50% Supplément de prime pour affiliation tardive fr. 9'616.-</w:t>
      </w:r>
    </w:p>
    <w:p>
      <w:r>
        <w:rPr>
          <w:b/>
        </w:rPr>
        <w:t>E. 5.2</w:t>
      </w:r>
    </w:p>
    <w:p>
      <w:r>
        <w:t>Hormis le fait qu'établi de cette manière, le montant de la surprime aurait été de 9'300 fr. (= 0,5 x ([24 x 126] + [72 x 140] + [24 x 150] + [12 x 158])) et non 9'616 fr., cette méthode de calcul n'est pas conforme aux principes exposés ci-dessus. En tant que la réglementation des art. 5 al. 2 LAMal et 8 al. 1 OAMal ne permet pas la perception de primes arriérées, mais impose un supplément de prime, ce supplément doit, tout d'abord, être calculé sur la base de la prime courante de l'assuré et non sur celle des primes en vigueur durant la lacune d'affiliation. Elle ne saurait, non plus, être prélevée sous la forme d'une prime unique (supra consid. 3.1 et 3.3), mais doit l'être sous forme de suppléments aux primes mensuelles durant 60 mois au plus (supra consid. 4.3). Ce mode de prélèvement n'est, du reste, pas sans influence sur l'appréciation du risque que l'exécution de la sanction mette l'assuré dans la gêne, même s'il peut se révéler problématique en cas de changement d'assureur (EUGSTER, op. cit., ch. 49 p. 13).</w:t>
      </w:r>
    </w:p>
    <w:p>
      <w:r>
        <w:rPr>
          <w:b/>
        </w:rPr>
        <w:t>E. 5.3</w:t>
      </w:r>
    </w:p>
    <w:p>
      <w:r>
        <w:t>En relation avec les circonstances de fait qui déterminent la quotité de la surprime (motif du retard et situation financière de l'intéressé), la caisse ne pouvait non plus, comme l'ont relevé à juste titre les premiers juges appliquer le taux maximum prévu par la loi (50%) sans avoir au préalable cherché à établir d'une manière ou d'une autre les circonstances déterminantes (motifs du retard et situation personnelle de l'intéressé). Il est vrai que les déclarations de ce dernier en procédure cantonale (lettre du 16 novembre 2001) laissent augurer certaines difficultés quant à sa collaboration à la procédure. Il convient toutefois de rappeler, sur ce point, que selon les circonstances, l'assureur social se heurtant à un manque de collaboration d'une partie peut, après lui avoir imparti un délai pour respecter ses obligations et l'avoir avertie des conséquences de son attitude, se prononcer en l'état du dossier; BGE 129 V 267 S. 275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cas échéant, rendre une décision d'irrecevabilité de la demande dont il est saisi (cf. ATF 108 V 230 s. consid. 2; v. également UELI KIESER, Das Verwaltungsverfahren in der Sozialversicherung, Zurich 1999, ch. 229, pp. 108 s.; MAURER, Unfallversicherungsrecht, p. 256; HARDY LANDOLT, Das Zumutbarkeitsprinzip im schweizerischen Sozialversicherungsrecht, thèse Zurich 1995, pp. 172 ss, ainsi que l' art. 43 al. 3 LPGA ).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questions de faits encore ouvertes sans difficultés ni complications particulières malgré l'absence de collaboration de l'assuré (cf. ATF 108 V 231 ss, ATF 97 V 177 ; MAURER, Unfallversicherungsrecht, p. 255).</w:t>
      </w:r>
    </w:p>
    <w:p>
      <w:r>
        <w:rPr>
          <w:b/>
        </w:rPr>
        <w:t>E. 6</w:t>
      </w:r>
    </w:p>
    <w:p>
      <w:r>
        <w:t>Il résulte de ce qui précède que c'est à juste titre que les premiers juges ont renvoyé la cause à la caisse afin qu'elle complète l'instruction et rende une nouvelle décision, aussi le recours doit-il être rejeté. En procédant de la sorte, il incombera, par ailleurs, à la caisse de tenir compte des principes exposés ci-dessus.</w:t>
      </w:r>
    </w:p>
    <w:p>
      <w:r>
        <w:rPr>
          <w:b/>
        </w:rPr>
        <w:t>E. 7</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