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167</w:t>
      </w:r>
    </w:p>
    <w:p>
      <w:r>
        <w:t>Bundesgericht (BGE), 2003-01-01, DE</w:t>
      </w:r>
    </w:p>
    <w:p>
      <w:r>
        <w:rPr>
          <w:b/>
        </w:rPr>
        <w:t xml:space="preserve">Quelle: </w:t>
      </w:r>
      <w:r>
        <w:t>https://mcp.opencaselaw.ch/entscheid/bge_BGE_129_V_167</w:t>
      </w:r>
    </w:p>
    <w:p>
      <w:r>
        <w:t>FR: ATF 129 V 167</w:t>
      </w:r>
    </w:p>
    <w:p>
      <w:r>
        <w:t>IT: DTF 129 V 167</w:t>
      </w:r>
    </w:p>
    <w:p>
      <w:pPr>
        <w:pStyle w:val="Heading2"/>
      </w:pPr>
      <w:r>
        <w:t>Regeste</w:t>
      </w:r>
    </w:p>
    <w:p>
      <w:r>
        <w:t>Regeste Art. 24, Art. 25 Abs. 1 und 2 lit. a Ziff. 1, Art. 32, Art. 34 Abs. 1 KVG; Art. 33 KVG in Verbindung mit Art. 33 lit. a und c KVV sowie Art. 1 KLV in Verbindung mit Anhang 1 KLV. Bedeutung der Positiv- und Negativlisten: Konkretisierung des gesetzlich vorgesehenen Systems zur Bezeichnung der vergütungsfähigen Leistungen auf Verordnungsstufe. Behandlung entstellender Gesichtsnarben mittels Lasertherapie: Voraussetzungen für die Qualifizierung einer Lasertherapie zur Behandlung entstellender Gesichtsnarben infolge massiven Aknebefalles (skin resurfing) als gesetzliche Leistung der obligatorischen Krankenpflegeversicherung.</w:t>
      </w:r>
    </w:p>
    <w:p>
      <w:r>
        <w:t>Regeste Art. 24, art. 25 al. 1 et 2 let. a ch. 1, art. 32, art. 34 al. 1 LAMal; art. 33 LAMal en liaison avec l'art. 33 let. a et c OAMal ainsi que art. 1 OPAS en corrélation avec l'annexe 1 OPAS. Les listes positive et négative concrétisent au niveau réglementaire le système prévu par la loi pour désigner les prestations susceptibles d'être prises en charge. Conditions auxquelles le traitement au laser de cicatrices défigurantes résultant d'une prolifération acnéique massive (skin resurfing) constitue une prestation à charge de l'assurance obligatoire des soins.</w:t>
      </w:r>
    </w:p>
    <w:p>
      <w:r>
        <w:t>Regesto Art. 24, art. 25 cpv. 1 e 2 lett. a cifra 1, art. 32, art. 34 cpv. 1 LAMal; art. 33 LAMal in relazione con l'art. 33 lett. a e c OAMal come pure art. 1 OPre in relazione con l'allegato 1 OPre. Gli elenchi positivi e negativi concretano a livello regolamentare il sistema previsto dalla legge per designare le prestazioni suscettibili di essere indennizzate. Condizioni alle quali il trattamento al laser di cicatrici deturpanti conseguenti a una proliferazione massiccia di acne (skin resurfing) costituisce una prestazione a carico dell'assicurazione obbligatoria delle cure medico-sanitarie.</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eingetretenen Sachverhalt abstellt ( BGE 121 V 366 Erw. 1b), sind im vorliegenden Fall die bis zum 31. Dezember 2002 geltenden Bestimmungen anwendbar.</w:t>
      </w:r>
    </w:p>
    <w:p>
      <w:r>
        <w:rPr>
          <w:b/>
        </w:rPr>
        <w:t>E. 2</w:t>
      </w:r>
    </w:p>
    <w:p>
      <w:r>
        <w:t>Soweit die Beschwerdegegnerin die Krankheitswertigkeit des durch die aknebedingten Narben entstellten Gesichts der Beschwerdeführerin in Zweifel zieht, kann ihr nicht gefolgt werden. Aus dem Zeugnis des Dr. med. R. vom 30. März 2000 geht schlüssig hervor, dass die Lasertherapie keineswegs nur kosmetischen Charakter hatte, sondern darauf gerichtet war, den objektiv verständlichen Leidenszustand der Beschwerdeführerin mit depressiver Entwicklung und Rückzugstendenzen zu beheben (vgl. RKUV 1997 Nr. KV 984 S. 119).</w:t>
      </w:r>
    </w:p>
    <w:p>
      <w:r>
        <w:rPr>
          <w:b/>
        </w:rPr>
        <w:t>E. 3.1</w:t>
      </w:r>
    </w:p>
    <w:p>
      <w:r>
        <w:t>Im Rahmen der obligatorischen Krankenpflegeversicherung ( Art. 1 Abs. 1 KVG ) haben die anerkannten Krankenkassen ( Art. 12 KVG ) und zugelassenen privaten Versicherungseinrichtungen ( Art. 13 KVG ) als obligatorische Krankenpflegeversicherer ( Art. 11 KVG ) u.a. im Falle der Krankheit ( Art. 1 Abs. 2 lit. a KVG ) die Kosten für die Leistungen gemäss den Art. 25-31 KVG nach Massgabe der in den Art. 32-34 KVG festgelegten Voraussetzungen zu übernehmen ( Art. 24 KVG ). Die obligatorische Krankenpflegeversicherung übernimmt u.a. die Kosten für die Behandlung einer BGE 129 V 167 S. 170 Krankheit und ihrer Folgen ( Art. 25 Abs. 1 KVG ), wobei die Leistungen insbesondere die ambulant, stationär oder teilstationär erbrachten Behandlungen durch Ärzte oder Ärztinnen umfassen (Art. 25 Abs. 2 lit. a Ziff. 1 KVG).</w:t>
      </w:r>
    </w:p>
    <w:p>
      <w:r>
        <w:rPr>
          <w:b/>
        </w:rPr>
        <w:t>E. 3.2</w:t>
      </w:r>
    </w:p>
    <w:p>
      <w:r>
        <w:t>Die Leistungen nach den Art. 25-31 KVG , somit auch die eben erwähnte ärztliche Behandlung, müssen wirksam, zweckmässig und wirtschaftlich sein, wobei die Wirksamkeit nach wissenschaftlichen Methoden nachgewiesen sein muss ( Art. 32 Abs. 1 KVG ). Die Wirksamkeit, Zweckmässigkeit und Wirtschaftlichkeit der Leistungen werden periodisch überprüft ( Art. 32 Abs. 2 KVG ). 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 Der Bundesrat kann die von Ärzten und Ärztinnen oder von Chiropraktoren und Chiropraktorinnen erbrachten Leistungen bezeichnen, deren Kosten von der obligatorischen Krankenpflegeversicherung nicht oder nur unter bestimmten Bedingungen übernommen werden ( Art. 33 Abs. 1 KVG ). Art. 33 Abs. 1 KVG erteilt dem Bundesrat somit im Bereich der ärztlichen und chiropraktorischen Heilanwendungen die Befugnis zur Bezeichnung einer Negativliste, die abschliessend ist ( BGE 125 V 28 Erw. 5b). Diese gesetzliche Ordnung enthält insofern eine für den die Kostenvergütung anbegehrenden Versicherten vorteilhafte Ordnung, als im Falle einer seitens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 BGE 125 V 28 Erw. 5b). Hält ein Krankenversicherer dafür, dass eine bestimmte nicht ausgeschlossene ärztliche (oder chiropraktorische) Therapie unwirksam, BGE 129 V 167 S. 171 unzweckmässig oder unwirtschaftlich sei ( Art. 32 Abs. 1 KVG ), hat er im Rahmen des Untersuchungsgrundsatzes die Verhältnisse abzuklären (z.B. durch Einholung eines Gutachtens) und hernach über die Leistungspflicht im Einzelfall zu verfügen. - Anders verhält es sich nach Art. 33 Abs. 2 und Abs. 3 KVG : - bei nicht von Ärzten/Ärztinnen sowie Chiropraktoren/Chiropraktorinnen, somit allen übrigen zugelassenen Leistungserbringern, erbrachten allgemeinen Leistungen bei Krankheit ( Art. 25 Abs. 2 KVG ), wo der Bundesrat bzw. das Departement eine Positivliste aufstellt ( Art. 33 Abs. 2 KVG ), und - für die Leistungsarten der medizinischen Prävention ( Art. 26 KVG ), der Mutterschaft ( Art. 29 Abs. 2 lit. a und c KVG ) und der zahnärztlichen Behandlungen ( Art. 31 Abs. 1 KVG ). Der entsprechende Art. 33 Abs. 2 KVG betraut den Bundesrat bzw. das Departement diesbezüglich ebenfalls mit der Erstellung einer Positivliste. - Schliesslich bestimmt der Bundesrat nach Art. 33 Abs. 3 KVG , in welchem Umfang die obligatorische Krankenpflegeversicherung die Kosten einer neuen oder umstrittenen Leistung übernimmt, deren Wirksamkeit, Zweckmässigkeit oder Wirtschaftlichkeit sich noch in Abklärung befindet. Auch hier geht es um die Erstellung einer Liste, die grundsätzlich abschliessend ist ( BGE 125 V 28 Erw. 5b in fine).</w:t>
      </w:r>
    </w:p>
    <w:p>
      <w:r>
        <w:rPr>
          <w:b/>
        </w:rPr>
        <w:t>E. 3.3</w:t>
      </w:r>
    </w:p>
    <w:p>
      <w:r>
        <w:t>Zu prüfen ist, wie der Verordnungsgeber dieses dreigliedrige System nach Art. 33 Abs. 1-3 KVG umgesetzt hat. Dies ist in Art. 33 KVV geschehen. Danach bezeichnet das Departement nach Anhören der zuständigen Kommission - gemäss lit. a die von Ärzten/Ärztinnen oder Chiropraktoren/Chiropraktorinnen erbrachten Leistungen, deren Kosten nicht oder nur unter bestimmten Bedingungen von der obligatorischen Krankenpflegeversicherung übernommen werden; - gemäss lit. b die nicht von Ärzten/Ärztinnen oder Chiropraktoren/Chiropraktorinnen, somit von allen übrigen zugelassenen Leistungserbringern, erbrachten allgemeinen Leistungen bei Krankheit; - gemäss lit. c die neuen oder umstrittenen Leistungen, deren Wirksamkeit, Zweckmässigkeit oder Wirtschaftlichkeit sich in Abklärung befindet; es bestimmt die Voraussetzungen und den Umfang der Kostenübernahme durch die obligatorische Krankenpflegeversicherung; - gemäss lit. d die medizinischen Präventionsmassnahmen ( Art. 26 KVG ), die Leistungen bei Mutterschaft ( Art. 29 Abs. 2 BGE 129 V 167 S. 172 lit. a und c KVG ) sowie die zahnärztlichen Behandlungen ( Art. 31 Abs. 1 KVG ); - gemäss lit. e die von der obligatorischen Krankenpflegeversicherung zu übernehmenden Mittel und Gegenstände nach Art. 52 Abs. 1 lit. a Ziff. 3 KVG; - gemäss lit. f die Beiträge an die Kosten von Badekuren nach Art. 25 Abs. 2 lit. c KVG ; - gemäss lit. g die zu vergütenden Transport- und Rettungskosten nach Art. 25 Abs. 2 lit. g KVG .</w:t>
      </w:r>
    </w:p>
    <w:p>
      <w:r>
        <w:rPr>
          <w:b/>
        </w:rPr>
        <w:t>E. 3.4</w:t>
      </w:r>
    </w:p>
    <w:p>
      <w:r>
        <w:t>In Anbetracht dieser normativen Ausgangslage auf der Stufe des formellen Gesetzes (Erw. 3.1, 3.2) und der bundesrätlichen Verordnung (Erw. 3.3) würde man erwarten, dass das Departement je separate Listen für die verschiedenen Tatbestände des Art. 33 Abs. 1-3 KVG und des Art. 33 lit. a-g KVV aufgestellt hätte. Dem ist jedoch, wie die Verordnung über Leistungen in der obligatorischen Krankenpflegeversicherung (Krankenpflege-Leistungsverordnung [KLV]) zeigt, nicht durchgehend so. Gemäss Art. 1 KLV bezeichnet der hier interessierende Anhang 1 diejenigen Leistungen, die nach Art. 33 Buchstaben a und c KVV von der Leistungskommission ( Art. 37d KVV ) geprüft wurden und deren Kosten von der obligatorischen Krankenpflegeversicherung (Versicherung): a) übernommen werden; b) nur unter bestimmten Voraussetzungen übernommen werden; c) nicht übernommen werden. Vorbehältlich der leistungsmässigen Umschreibung der ärztlichen Psychotherapie (Art. 2 f. KLV) und der von Chiropraktoren/Chiropraktorinnen verordneten Leistungen ( Art. 4 KLV ) als Untergruppen gemäss Art. 33 Abs. 1 KVG / Art. 33 lit. a KVV und unter Berücksichtigung des Umstandes, dass die von den nichtärztlichen (nicht chiropraktorischen) Leistungserbringern applizierten Heilanwendungen im Sinne von Art. 33 Abs. 2 KVG / Art. 33 lit. b KVV eine positive (abschliessende; vgl. z.B. BGE 124 V 346 oder BGE 127 V 332 Erw. 3a und 343 Erw. 3b) Aufzählung in den Art. 5 ff. KLV erfahren haben (nämlich: Physiotherapie [ Art. 5 KLV ]; Ergotherapie [ Art. 6 KLV ]; Krankenpflege zu Hause, ambulant oder im Pflegeheim [ Art. 7 KLV ]; Ernährungsberatung [ Art. 9b KLV ]; Diabetesberatung [ Art. 9c KLV ]; Logopädie [ Art. 10 und 11 KLV ]; Massnahmen der Prävention [ Art. 12 KLV ]; besondere Leistungen bei Mutterschaft [ Art. 13-16 KLV ]; zahnärztliche Behandlungen [ Art. 17-19a KLV ]; Mittel und BGE 129 V 167 S. 173 Gegenstände [ Art. 20-24 KLV ]; Badekuren, Transport- und Rettungskosten [ Art. 25-27 KLV ]; Analysen, Arzneimittel, Spezialitäten [ Art. 28-38 KLV ]), ist festzustellen, dass der Anhang 1 KLV ein Sammelbecken der bezeichneten Leistungen darstellt. Daher weist er einen äusserst heterogenen rechtlichen Charakter auf (wobei erst noch zu beachten ist, dass die weiteren Anhänge zur KLV, nämlich Anhang 2 betreffend Mittel- und Gegenstände-Liste, Anhang 3 Analysenliste und Anhang 4 Arzneimittelliste mit Tarif, nicht die ärztliche Behandlung als solche im Krankheitsfall betreffen). Der Anhang 1 KLV enthält denn auch unter dem Titel "Vergütungspflicht der obligatorischen Krankenpflegeversicherung für bestimmte ärztliche Leistungen" folgende einleitende Bemerkungen: Dieser Anhang stützt sich auf Art. 1 der Leistungsverordnung. Er enthält keine abschliessende Aufzählung der ärztlichen Pflicht- oder Nichtpflichtleistungen. Er enthält: - Leistungen, deren Wirksamkeit, Zweckmässigkeit oder Wirtschaftlichkeit durch die Leistungskommission geprüft wurde und deren Kosten demgemäss übernommen, allenfalls nur unter bestimmten Voraussetzungen übernommen oder gar nicht übernommen werden; - Leistungen, deren Wirksamkeit, Zweckmässigkeit oder Wirtschaftlichkeit noch abgeklärt wird, für die jedoch die Kosten unter bestimmten Voraussetzungen und in einem festgelegten Umfang übernommen werden; - besonders kostspielige oder schwierige Leistungen, die von der obligatorischen Krankenpflegeversicherung nur vergütet werden, wenn sie von hierfür qualifizierten Leistungserbringern durchgeführt werden. Die KLV und ihre Anhänge unterliegen einer beschränkten richterlichen Überprüfungsbefugnis, welche dem Departement einen weiten Gestaltungsspielraum vorzubehalten hat ( BGE 124 V 195 Erw. 6; RKUV 2001 Nr. KV 158 S. 155).</w:t>
      </w:r>
    </w:p>
    <w:p>
      <w:r>
        <w:rPr>
          <w:b/>
        </w:rPr>
        <w:t>E. 4</w:t>
      </w:r>
    </w:p>
    <w:p>
      <w:r>
        <w:t>Das kantonale Gericht hat in Erw. 3b, c seines Entscheides den Mischcharakter des Anhanges 1 KLV an sich durchaus erkannt. Es ist mit der Vorinstanz festzustellen, dass Anhang 1 KLV, gesamthaft betrachtet, weder als Negativliste noch als Positivliste noch als beispielhafte Aufzählung der leistungspflichtigen Behandlungen gelten kann. Denn je nachdem, ob es sich bei den Positionen im BGE 129 V 167 S. 174 Anhang 1 KLV um Leistungen im Einzugsbereich des Art. 33 Abs. 1 KVG / Art. 33 lit. a KVV einerseits oder des Art. 33 Abs. 2, 3 KVG / Art. 33 lit. b, c KVV anderseits handelt, ist die Tragweite der fehlenden (oder beschränkten, d.h. an das Vorliegen bestimmter Voraussetzungen, z.B. Indikationen, gebundenen) Aufnahme rechtlich unterschiedlich zu bewerten. Das kantonale Gericht erwägt sodann, der dem Art. 33 Abs. 3 KVG entsprechende Art. 33 lit. c KVV sei eine Art Sonderregelung für ärztliche Leistungen, nämlich Leistungen, welche neu oder umstritten sind und sich deshalb in Abklärung befinden. Diese Abklärung, welche von den gesetzlich vorgesehenen Gremien vorgenommen werden müsse, sei zwingende Voraussetzung für die Aufnahme in den KLV Anhang und somit Voraussetzung für die Leistungspflicht, woran der Richter nichts ändern könne. Dabei übersieht die Vorinstanz, dass Gegenstand des Anhangs 1, nach dem ausdrücklichen Wortlaut des Art. 1 KLV , nur jene Leistungen sind, die nach Art. 33 lit. a und c KVV "von der Leistungskommission geprüft wurden" (und deren Kosten von der obligatorischen Krankenpflegeversicherung ganz, teilweise oder nicht übernommen werden). Soweit es sich dagegen um eine ärztliche (oder chiropraktorische) Behandlung im Einzugsbereich des Art. 33 Abs. 3 KVG / Art. 33 lit. c KVV handelt, die nicht Gegenstand einer Prüfung durch die Leistungskommission bildete, greift die oben dargelegte (Erw. 3.2) gesetzliche Vermutung Platz, dass die ärztliche Behandlung den gesetzlichen Prinzipien der wissenschaftlich nachgewiesenen Wirksamkeit, Wirtschaftlichkeit und Zweckmässigkeit entspricht. Es gibt zahllose ärztliche Behandlungen, welche unstreitig diesen Kriterien entsprechen, jedoch nicht in Anhang 1 KLV figurieren, schon deswegen nicht, weil die Leistungskommission weder die Zeit noch die organisatorischen und personellen Kapazitäten besitzt, alle praktizierten ärztlichen Heilanwendungen zu prüfen. Wendet nun in einem konkreten Krankheitsfall ein Krankenversicherer gegen die von ihm seitens der versicherten Person verlangte Kostenvergütungspflicht ein, die durchgeführte Behandlung eines Arztes sei neu und in ihrer Wirksamkeit noch nicht anerkannt oder umstritten, so kann dies nach dem Gesagten von vornherein nicht heissen, dass mit dieser Behauptung die Leistungspflicht der Kasse einfach dahinfällt. Vielmehr liegt es im Einzelfall am Krankenversicherer, als gesetzlichem Durchführungsorgan der obligatorischen Krankenversicherung (Erw. 3.1), abzuklären, ob es um eine in die gesetzliche Vermutung des Art. 33 Abs. 1 KVG / Art. 33 lit. a KVV fallende ärztliche Behandlung geht, BGE 129 V 167 S. 175 welche die gesetzlichen Kriterien von Wirtschaftlichkeit, Zweckmässigkeit und Wirksamkeit erfüllt, oder aber um eine Methode, die im Sinne des Art. 33 Abs. 3 KVG / Art. 33 lit. c KVV umstritten ist (RKUV 2000 Nr. KV 132 S. 279). Das Gegenteil annehmen zu wollen, wie es Vorinstanz und Beschwerdegegnerin tun, bedeutete nichts anderes, als dass durch die blosse Behauptung, eine ärztliche Behandlungsmethode sei umstritten, der gesetzliche Kostenvergütungsanspruch für wirtschaftliche, zweckmässige und wirksame ärztliche Behandlung beschnitten werden könnte, und zwar so lange, bis die - hier vom BSV in seiner Vernehmlassung in Aussicht gestellte - allenfalls positiv lautende Stellungnahme der Leistungskommission vorliegt. Das ist mit dem dargelegten gesetzlichen System der Leistungsbezeichnung unvereinbar. Der Anhang 1 KLV enthält die geprüften Behandlungsarten, welche im Behandlungsfall jedenfalls zu übernehmen, nicht zu übernehmen oder nur unter bestimmten Voraussetzungen zu übernehmen sind, eben all jene Leistungen, hinsichtlich derer, sei es im Rahmen von Art. 33 Abs. 1 oder Abs. 3 KVG / Art. 33 lit. a oder lit. c KVV , eine Stellungnahme der Leistungskommission ergangen ist.</w:t>
      </w:r>
    </w:p>
    <w:p>
      <w:r>
        <w:rPr>
          <w:b/>
        </w:rPr>
        <w:t>E. 5</w:t>
      </w:r>
    </w:p>
    <w:p>
      <w:r>
        <w:t>Bei dieser Rechtslage wäre an sich die Sache unter Aufhebung des kantonalen Entscheides und des angefochtenen Einspracheentscheides an die Beschwerdegegnerin zurückzuweisen gewesen, damit sie zur Frage, ob die an der Beschwerdeführerin applizierte Lasertherapie zur Behandlung von Aknenarben die Kriterientrias des Art. 32 Abs. 1 KVG erfüllt, ein fachspezifisches Gutachten einhole. Nun hat gemäss Schreiben des BSV vom 10. September 2002 zwischenzeitlich das Departement auf Empfehlung der Eidgenössischen Leistungskommission den Anhang 1 KLV dahingehend ergänzt, dass es die Lasertherapie von Aknenarben (und auch von Keloiden) per 1. Juli 2002 mit dem Vermerk "nein, in Evaluation" im Anhang 1 KLV aufgeführt hat. Es fragt sich, ob und inwiefern diese Rechtsänderung im laufenden, zwar nicht sistierten, aber noch anhängigen Verfahren zu berücksichtigen ist. Nach ständiger Rechtsprechung sind in zeitlicher Hinsicht grundsätzlich diejenigen Rechtssätze massgeblich, die bei der Erfüllung des zu Rechtsfolgen führenden Tatbestandes Geltung haben (vgl. Erw. 1 hievor). Nach dieser intertemporalrechtlichen Regel wäre die Sache, entsprechend den vorstehenden Erwägungen, grundsätzlich an die Beschwerdegegnerin zurückzuweisen zur Abklärung mittels einer dermatologischen Expertise, ob es sich bei der an der BGE 129 V 167 S. 176 Beschwerdeführerin applizierten Lasertherapie zur Behandlung von Aknenarben tatsächlich um eine Therapieform handelt, die hinsichtlich ihrer Wirksamkeit derzeit medizinisch (noch) umstritten ist. Nachdem nun aber die Lasertherapie durch entsprechende Aufnahme in den Anhang 1 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(Erw. 3.4 in fine), erübrigen sich dahingehende Abklärungen nunmehr. Damit ist der abweisende Entscheid der Vorinstanz im Ergebnis zu schützen. Das Sistierungsgesuch des BSV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