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150</w:t>
      </w:r>
    </w:p>
    <w:p>
      <w:r>
        <w:t>Bundesgericht (BGE), 2003-01-01, FR</w:t>
      </w:r>
    </w:p>
    <w:p>
      <w:r>
        <w:rPr>
          <w:b/>
        </w:rPr>
        <w:t xml:space="preserve">Quelle: </w:t>
      </w:r>
      <w:r>
        <w:t>https://mcp.opencaselaw.ch/entscheid/bge_BGE_129_V_150</w:t>
      </w:r>
    </w:p>
    <w:p>
      <w:r>
        <w:t>FR: ATF 129 V 150</w:t>
      </w:r>
    </w:p>
    <w:p>
      <w:r>
        <w:t>IT: DTF 129 V 150</w:t>
      </w:r>
    </w:p>
    <w:p>
      <w:pPr>
        <w:pStyle w:val="Heading2"/>
      </w:pPr>
      <w:r>
        <w:t>Regeste</w:t>
      </w:r>
    </w:p>
    <w:p>
      <w:r>
        <w:t>Regeste Art. 27 und 27bis IVV; Art. 34 Abs. 2 BVG; Art. 24 Abs. 1 und 2 BVV 2. Auswirkung der erwerblichen Qualifikation eines Versicherten (voll erwerbstätig, teilerwerbstätig, nicht erwerbstätig) in der Invalidenversicherung auf die Überentschädigungsberechnung im Bereich der Beruflichen Vorsorge. Zur Bindungswirkung der Entscheide der Invalidenversicherung über die erwerbliche Stellung einer invaliden Person (voll erwerbstätig, teilerwerbstätig, nicht erwerbstätig) für die Vorsorgeeinrichtungen.</w:t>
      </w:r>
    </w:p>
    <w:p>
      <w:r>
        <w:t>Regeste Art. 27 et 27bis RAI; art. 34 al. 2 LPP; art. 24 al. 1 et 2 OPP 2. Incidence du statut de l'assuré dans l'assurance-invalidité (personne réputée active, partiellement active ou non active) sur le calcul de la surindemnisation en matière de prévoyance professionnelle. De la force contraignante pour les institutions de prévoyance des décisions de l'assurance-invalidité concernant le statut de la personne invalide (personne réputée active, partiellement active ou non active).</w:t>
      </w:r>
    </w:p>
    <w:p>
      <w:r>
        <w:t>Regesto Art. 27 e 27bis OAI; art. 34 cpv. 2 LPP; art. 24 cpv. 1 e 2 OPP 2. Incidenza dello statuto dell'assicurato nell'assicurazione per l'invalidità (persona ritenuta attiva, parzialmente attiva o non attiva) sul calcolo del sovraindennizzo in materia di previdenza professionale. Sulla forza vincolante, per gli istituti di previdenza, delle decisioni dell'assicurazione invalidità concernenti lo statuto della persona invalida (persona ritenuta attiva, parzialmente attiva o non attiva).</w:t>
      </w:r>
    </w:p>
    <w:p>
      <w:pPr>
        <w:pStyle w:val="Heading2"/>
      </w:pPr>
      <w:r>
        <w:t>Erwägungen</w:t>
      </w:r>
    </w:p>
    <w:p>
      <w:r>
        <w:rPr>
          <w:b/>
        </w:rPr>
        <w:t>E. 1</w:t>
      </w:r>
    </w:p>
    <w:p>
      <w:r>
        <w:t>Est litigieuse, la réduction, pour cause de surindemnisation, de la rente d'invalidité accordée à la recourante. Selon l'art. 23 du règlement de la caisse de pensions, les rentes d'invalidité (y compris les rentes d'enfant d'invalide) sont réduites de sorte que, cumulées avec les revenus que la personne assurée et/ou ses proches reçoivent d'assurances publiques ou de tiers n'excèdent pas 100 pour cent "du revenu global brut, augmenté d'éventuelles allocations pour enfants de la personne assurée" (al. 1). Est notamment considérée comme assurance sociale publique l'assurance-invalidité fédérale (al. 2). La recourante soutient que c'est en raison de son état de santé qu'elle a dû réduire son activité à 50 pour cent dès le mois de février 1997. Il faut, dès lors, considérer qu'elle aurait poursuivi une BGE 129 V 150 S. 152 activité à plein temps si elle n'avait pas été entravée dans sa capacité de travail par ses problèmes de santé. C'est donc sur la base d'un salaire correspondant à une activité à plein temps qu'aurait dû être calculée la surindemnisation, soit à tout le moins un montant de 40'876 fr., correspondant au salaire réalisé en 1996. Les premiers juges ont considéré, sur la base du témoignage du docteur A., médecin traitant de la recourante, que l'assurée présentait en juillet 1996 un état d'anxiété généralisée et des troubles dysthymiques réactionnels, qui étaient la conséquence d'un stress professionnel lié à une surcharge de travail. Ce médecin a certes déclaré qu'il avait conseillé à la patiente, pour des raisons de santé, de demander une réduction de son horaire de travail. Toutefois, comme le praticien avait indiqué que les problèmes rencontrés par la patiente dans l'exercice de son activité lucrative n'étaient pas suffisamment importants pour justifier une incapacité de travail, on devait admettre qu'au moment où l'intéressée était devenue incapable de travailler, elle exerçait déjà une activité lucrative à temps partiel; elle percevait une rétribution correspondant à l'ampleur de son activité. C'est donc à juste titre, selon les premiers juges toujours, que la caisse de pensions a retenu, au titre de gain annuel dont on pouvait présumer que l'intéressée avait été privée, le montant de 1'745 fr. Une fois retranchée la rente de l'assurance-invalidité, assortie de la rente complémentaire en faveur de l'époux, par 1'728 fr. au total, c'est bien un montant mensuel de 17 fr. qui devait encore être alloué à l'assurée par la caisse de pensions.</w:t>
      </w:r>
    </w:p>
    <w:p>
      <w:r>
        <w:rPr>
          <w:b/>
        </w:rPr>
        <w:t>E. 2.1</w:t>
      </w:r>
    </w:p>
    <w:p>
      <w:r>
        <w:t>L'office de l'assurance-invalidité a fixé le début de l'incapacité de travail au mois de juillet 1997, à une époque où l'assurée travaillait à 50 pour cent. Il a fixé en conséquence le début du droit à la rente au 1er juillet 1998 ( art. 29 al. 1 let. b LAI dans sa version en vigueur jusqu'au 31 décembre 2002). Pour l'évaluation de l'invalidité, l'office a visiblement appliqué la méthode générale de comparaison des revenus ( art. 28 al. 2 LAI ). Il a admis que l'assurée présentait une incapacité de gain totale à partir du 1er juillet 1998 (décision du 30 septembre 1999). On se référera ci-après aux dispositions - déterminantes en l'espèce - de la LAI et du RAI en vigueur ou dans leur teneur jusqu'au 31 décembre 2002, soit avant les modifications apportée par la LPGA, entrée en vigueur le 1er janvier 2003 (cf. ATF 127 V 467 consid. 1). Tant lors de l'examen initial du droit à la rente qu'à l'occasion d'une révision de celle-ci ( art. 41 LAI ), il faut examiner sous l'angle BGE 129 V 150 S. 153 des art. 4 et 5 LAI quelle méthode d'évaluation de l'invalidité il convient d'appliquer ( art. 28 al. 2 et 3 LAI , en corrélation avec les art. 27 s. RAI). Le choix de l'une des trois méthodes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125 V 150 consid. 2c, ATF 117 V 194 consid. 3b et les références). Quand bien même l'assurée travaillait à 50 pour cent depuis le mois de février 1997, l'office n'a pas fait application de la méthode mixte d'évaluation de l'invalidité, applicable aux assurés exerçant une activité lucrative à temps partiel ( art. 27bis RAI ). Il s'est apparemment fondé, en partie tout au moins, sur un rapport établi à son intention par le docteur A. le 9 mars 1999. A la question lui demandant si la réduction de l'horaire de travail intervenue en janvier 1997 était nécessitée par l'état de santé de l'assurée, ce médecin a en effet répondu que cette réduction était nécessaire vu l'état de santé de l'assurée: il existait à ce moment-là déjà une anxiété généralisée et accessoirement des troubles dysthymiques réactionnels (conflit conjugal latent). Le médecin a préconisé un examen médical complémentaire en faisant remarquer que la patiente était suivie par la doctoresse B., oncologue, et par le docteur C., psychiatre. Il a enfin précisé, dans ce même rapport toujours, que l'incapacité de travail était "actuellement" d'ordre psychiatrique. Sur la base de ces éléments, il y a donc lieu de constater que l'office de l'assurance-invalidité, en appliquant la méthode générale de comparaison des revenus, a considéré que la recourante, si elle n'avait pas été atteinte dans sa santé, exercerait une activité lucrative à plein temps. Sur ce point, il existe donc une divergence d'appréciation entre l'assurance-invalidité et la caisse de pensions.</w:t>
      </w:r>
    </w:p>
    <w:p>
      <w:r>
        <w:rPr>
          <w:b/>
        </w:rPr>
        <w:t>E. 2.2</w:t>
      </w:r>
    </w:p>
    <w:p>
      <w:r>
        <w:t>Si l'on admettait, avec les premiers juges et la caisse intimée, que c'est pour des raisons personnelles, étrangères à l'invalidité, que la recourante a réduit son temps de travail, on devrait alors considérer que l'office de l'assurance-invalidité aurait dû appliquer la BGE 129 V 150 S. 154 méthode mixte d'évaluation de l'invalidité. Dans cette hypothèse, il eût alors convenu, pour le calcul de la surindemnisation dans la prévoyance professionnelle, d'imputer la part de rente de l'assurance-invalidité censée indemniser la perte de la capacité ménagère et ne prendre en considération que la part de rente supposée compenser l'incapacité de gain de l'assurée. Dans la prévoyance professionnelle, en effet,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 ATF 124 V 281 consid. 2a et les références de doctrine citées); il n'est pas déterminant, à cet égard, que le règlement de la caisse de pensions ne prévoie pas une telle imputation (arrêt du 18 juillet 2002 en la cause J. [B 10/99]). Le principe de la concordance des droits doit également trouver sa concrétisation dans le cadre du règlement en l'absence de disposition idoine (arrêt B. du 25 septembre 2002 [B 31/01]) dès lors qu'il a une portée générale dans l'assurance sociale (voir p. ex. ERICH PETER, Die Koordination von Invalidenrenten im Sozialversicherungsrecht, unter besonderer Berücksichtigung der intersystemischen Probleme in der Invalidenversicherung, der Unfallversicherung und der obligatorischen beruflichen Vorsorge, thèse Fribourg 1996, p. 230 s.; ROLAND SCHAER, Grundzüge des Zusammenwirkens von Schadenausgleichsystemen, Bâle 1984, ch. 452). Appliqués au cas particulier, en partant d'une répartition par moitié de l'activité professionnelle et des tâches habituelles, et d'une invalidité totale dans l'exercice d'une activité lucrative, la moitié seulement de la rente d'invalidité devrait être prise en compte dans le calcul de la surindemnisation.</w:t>
      </w:r>
    </w:p>
    <w:p>
      <w:r>
        <w:rPr>
          <w:b/>
        </w:rPr>
        <w:t>E. 2.3</w:t>
      </w:r>
    </w:p>
    <w:p>
      <w:r>
        <w:t>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(VIRET, La surindemnisation dans la prévoyance professionnelle, in: RSA 1999 p. 19). Ainsi, dans la prévoyance professionnelle obligatoire, on entend par "gain annuel dont on peut présumer que BGE 129 V 150 S. 155 l'intéressé est privé", au sens de l' art. 24 al. 1 OPP 2 , le salaire hypothétique que l'assuré réaliserait sans invalidité, au moment où doit s'effectuer le calcul de surindemnisation ( ATF 123 V 197 consid. 5a, 209 consid. 5b et les références). C'est dire que le statut de l'affilié dans l'assurance-invalidité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(voir ISABELLE VETTER-SCHREIBER, Überentschädigung, ungerechtfertigte Vorteile, in: SCHAFFHAUSER/STAUFFER [éd.], Neue Entwicklungen in der beruflichen Vorsorge, St. Gall 2000, p. 146).</w:t>
      </w:r>
    </w:p>
    <w:p>
      <w:r>
        <w:rPr>
          <w:b/>
        </w:rPr>
        <w:t>E. 2.4</w:t>
      </w:r>
    </w:p>
    <w:p>
      <w:r>
        <w:t>Les impératifs d'une coordination qui soit conforme au principe de la concordance des droits impliquent que la question du statut d'un assuré (personne réputée active, partiellement active ou encore non active) soit en principe appréciée de la même manière dans l'assurance-invalidité et dans la prévoyance professionnelle. Indépendamment de ce principe de concordance, une appréciation uniforme trouve une justification dans le fait que la prévoyance professionnelle, qui représente le deuxième pilier de la prévoyance en général, a pour but de compléter les besoins des bénéficiaires des assurances AVS/AI fédérales. Dans le domaine de la coordination des rentes de l'AVS/AI avec celles de la prévoyance professionnelle obligatoire, le salaire assuré dans le cadre de l'assurance obligatoire des salariés est un salaire coordonné, compris entre un montant minimum et un montant maximum, de telle sorte que les prestations additionnées des premier et deuxième piliers ne devraient jamais conduire à une surindemnisation (cf. VIRET, loc. cit., p. 21). Il s'agit donc, en particulier, d'éviter une surindemnisation qui aurait pour seule origine une divergence d'appréciation quant au statut de l'assuré entre les organes de l'assurance-invalidité et l'institution de prévoyance. BGE 129 V 150 S. 156</w:t>
      </w:r>
    </w:p>
    <w:p>
      <w:r>
        <w:rPr>
          <w:b/>
        </w:rPr>
        <w:t>E. 2.5</w:t>
      </w:r>
    </w:p>
    <w:p>
      <w:r>
        <w:t>D'après la jurisprudence, si une institution de prévoyance reprend - explicitement ou par renvoi - la définition de l'invalidité de la LAI, elle est en principe liée, lors de la survenance du fait assuré, par l'estimation de l'invalidité des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 ATF 123 V 271 consid. 2a et les références citées). Cependant, dans un arrêt K. du 29 novembre 2002 (ATF ATF 129 V 73 ), le Tribunal fédéral des assurances a jugé que l'office de l'assurance-invalidité est tenu de notifier une décision de rente aux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Il convient d'appliquer les mêmes principes en ce qui concerne le statut de la personne invalide. La priorité accordée aux décisions de l'assurance-invalidité en ce domaine et leur éventuelle force contraignante pour les institutions de prévoyance (en l'absence d'un recours contre une décision dûment communiquée) se justifie par le fait que l'office de l'assurance-invalidité est l'organe normalement compétent pour trancher la question du statut de l'assuré préalablement à la fixation du degré d'invalidité. En revanche, le statut de l'assuré ne joue pas de rôle pour l'évaluation de l'invalidité par l'institution de prévoyance puisque, comme on l'a vu, la prévoyance professionnelle, à la différence de l'assurance-invalidité, n'assure pas, le cas échéant, l'atteinte à la capacité d'accomplir les travaux habituels. C'est pourquoi d'ailleurs, en cas d'application de la méthode mixte, la force contraignante, pour les institutions de prévoyance, du degré d'invalidité fixé par l'office de l'assurance-invalidité se limite à l'invalidité dans l'activité lucrative ( ATF 120 V 106 ). La question du statut de l'assuré a tout au plus une incidence dans le calcul d'une éventuelle surindemnisation. On doit admettre que cette priorité des décisions de l'assurance-invalidité, en ce qui concerne le statut de l'assuré, vaut non seulement pour la prévoyance professionnelle obligatoire, mais également pour la prévoyance plus étendue. En effet, il n'existe aucune raison qui justifierait à cet égard une distinction. De ce point de vue, la BGE 129 V 150 S. 157 situation est différente en ce qui concerne le taux de l'invalidité et le début de l'incapacité de travail: lorsque l'institution de prévoyance adopte une définition qui ne concorde pas avec celle de l'assurance-invalidité, il est normal que l'institution ne soit pas liée par une estimation qui repose sur d'autres critères. En revanche, la question du statut de l'assuré est indépendante de la notion d'invalidité définie par le règlement de prévoyance.</w:t>
      </w:r>
    </w:p>
    <w:p>
      <w:r>
        <w:rPr>
          <w:b/>
        </w:rPr>
        <w:t>E. 3</w:t>
      </w:r>
    </w:p>
    <w:p>
      <w:r>
        <w:t>Dans le cas particulier, il y a lieu de constater que la décision de l'assurance-invalidité (rendue bien avant le prononcé de l'arrêt K. précité [ ATF 129 V 73 ]) n'a de toute évidence pas été communiquée à la caisse de pensions intimée. Il s'ensuit que la question du statut de l'assurée doit être examinée librement dans le cadre du présent litige. Comme le relève l'OFAS, les pièces versées au dossier ne permettent pas de répondre à la question, litigieuse, de savoir si c'est pour des motifs de santé que la recourante a dû réduire son activité, autrement dit si elle exercerait ou non une activité professionnelle à plein temps dans l'hypothèse où elle n'eût pas été atteinte dans sa santé. Entendu en procédure cantonale (procès-verbal d'audience du 1er juillet 2002), le docteur A. a indiqué qu'il avait proposé à sa patiente de diminuer son activité lucrative, tout en précisant que les problèmes de santé rencontrés par l'intéressée n'étaient pas suffisamment "importants" pour justifier une incapacité de travail. Mais il a par ailleurs déclaré que si la recourante n'avait pas obtenu une réduction de son horaire de travail, il aurait dû "mettre (la) patiente à l'incapacité de travail". D'autre part, à lire le rapport du docteur A. du 9 mars 1999, déjà mentionné, il semble que l'incapacité de travail ait une origine exclusivement psychiatrique. On ignore, par ailleurs si l'office de l'assurance-invalidité a demandé, comme le suggérait le docteur A., un rapport à l'oncologue et au psychiatre qui traitaient l'assurée. On notera, à cet égard, que le dossier de l'assurance-invalidité dont on dispose est très fragmentaire, ce dossier n'ayant pas été produit dans son entier. En conséquence, il convient de renvoyer la cause aux premiers juges pour qu'ils complètent l'instruction et qu'ils procèdent à un nouveau calcul de surindemnisation, compte tenu du résultat de cette instruction et des considérants qui précèdent. Ou bien ils admettent que l'assurée aurait exercé une activité à mi-temps indépendamment de la survenance de l'invalidité et il conviendra, dans le calcul de la surindemnisation, d'imputer la rente servie par l'assurance-invalidité BGE 129 V 150 S. 158 selon le principe de la concordance des droits. Ou bien ils considèrent que l'assurée aurait continué à travailler à plein temps si elle n'était pas devenue invalide et il conviendra de prendre en compte un salaire correspondant à une activité à plein temps au titre de "revenu global brut" au sens de l'art. 23 du règlement. Pour le surplus, il est prématuré, au stade actuel de la procédure, de se prononcer sur la prise en compte - contestée par la recourante - de la rente complémentaire pour époux aux regard des dispositions réglementaires de la caisse, car cette prise en compte dépendra de la solution à laquelle parviendront les premiers juges au terme de l'instruction prescrite plus haut: s'ils reconnaissent à l'assurée le statut d'une personne entièrement active, la limite de surindemnisation ne sera de toute façon pas atteinte, même compte tenu de la rente complémentaire (voir aussi dans ce contexte, s'agissant de la prise en compte de la rente complémentaire pour conjoint dans la prévoyance professionnelle obligatoire, ATF 126 V 468 ).</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