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w:t>
      </w:r>
    </w:p>
    <w:p>
      <w:r>
        <w:t>Bundesgericht (BGE), 2002-01-01, DE</w:t>
      </w:r>
    </w:p>
    <w:p>
      <w:r>
        <w:rPr>
          <w:b/>
        </w:rPr>
        <w:t xml:space="preserve">Quelle: </w:t>
      </w:r>
      <w:r>
        <w:t>https://mcp.opencaselaw.ch/entscheid/bge_BGE_129_V_11</w:t>
      </w:r>
    </w:p>
    <w:p>
      <w:r>
        <w:t>FR: ATF 129 V 11</w:t>
      </w:r>
    </w:p>
    <w:p>
      <w:r>
        <w:t>IT: DTF 129 V 11</w:t>
      </w:r>
    </w:p>
    <w:p>
      <w:pPr>
        <w:pStyle w:val="Heading2"/>
      </w:pPr>
      <w:r>
        <w:t>Regeste</w:t>
      </w:r>
    </w:p>
    <w:p>
      <w:r>
        <w:t>Regeste Art. 52 AHVG: Arbeitgeberhaftung. Weder aus der bundesrätlichen Botschaft zur 11. AHV-Revision noch aus den Materialien zum ATSG ergeben sich Anhaltspunkte für ein Abweichen von der feststehenden Praxis zu Art. 52 AHVG.</w:t>
      </w:r>
    </w:p>
    <w:p>
      <w:r>
        <w:t>Regeste Art. 52 LAVS: Responsabilité de l'employeur. On ne peut inférer ni du message du Conseil fédéral concernant la 11e révision de l'AVS ni des travaux préparatoires de la LPGA des raisons de s'écarter de la jurisprudence constante relative à l'art. 52 LAVS.</w:t>
      </w:r>
    </w:p>
    <w:p>
      <w:r>
        <w:t>Regesto Art. 52 LAVS: Responsabilità del datore di lavoro. Né dal messaggio del Consiglio federale concernente l'11a revisione dell'AVS, né dai lavori preparatori della LPGA emergono indicazioni per un cambiamento della consolidata prassi relativa all'art. 52 LAVS.</w:t>
      </w:r>
    </w:p>
    <w:p>
      <w:pPr>
        <w:pStyle w:val="Heading2"/>
      </w:pPr>
      <w:r>
        <w:t>Erwägungen</w:t>
      </w:r>
    </w:p>
    <w:p>
      <w:r>
        <w:rPr>
          <w:b/>
        </w:rPr>
        <w:t>E. 3</w:t>
      </w:r>
    </w:p>
    <w:p>
      <w:r>
        <w:t>Die Beschwerdeführer wiederholen in ihrer Verwaltungsgerichtsbeschwerde die bereits im vorinstanzlichen Verfahren geäusserte Kritik an der Organhaftung nach Art. 52 AHVG . Das AHVG enthalte keinerlei Hinweise für die Haftung von Organen. Auch in den Materialien fänden sich hiefür keine Anhaltspunkte. Die subsidiäre Haftung der verantwortlichen Organpersonen, welche klarerweise keine Arbeitgeber seien, lasse sich aus Art. 52 AHVG nicht herleiten. Die Auslegung der genannten Bestimmung durch das Eidgenössische Versicherungsgericht widerspreche auch nach Ansicht der Lehre (FORSTMOSER/MEYER-HAYOZ/NOBEL, Schweizerisches Aktienrecht, Bern 1996, § 38 N 10 ff.) dem klaren Wortlaut des Gesetzes.</w:t>
      </w:r>
    </w:p>
    <w:p>
      <w:r>
        <w:rPr>
          <w:b/>
        </w:rPr>
        <w:t>E. 3.1</w:t>
      </w:r>
    </w:p>
    <w:p>
      <w:r>
        <w:t>Die in der Lehre erhobene Kritik, wonach die Ausdehnung der Haftpflicht auf Organe nicht unbedenklich sei, ist schon früher geäussert worden (MAURER, Schweizerisches Sozialversicherungsrecht, Bd. II, Bern 1981, S. 67; FORSTMOSER, Die aktienrechtliche Verantwortlichkeit, 2. Aufl., Zürich 1987, S. 305 f. N 1071). Das Eidgenössische Versicherungsgericht hat hiezu 1988 im Grundsatzentscheid BGE 114 V 219 ausführlich Stellung bezogen. Es hat darin erwogen: Bei der Auslegung des in Art. 52 AHVG für das Haftungssubjekt verwendeten Begriffs "Arbeitgeber" ist davon auszugehen, dass dem Arbeitgeber bezüglich der in Art. 14 Abs. 1 BGE 129 V 11 S. 12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Kommt dem Arbeitgeber bezüglich Bezug, Ablieferung und Abrechnung der Beiträge Organstellung bei der Durchführung verschiedener Zweige der Sozialversicherung zu, untersteht er dem Verantwortlichkeitsrecht des Bundes. Art. 52 AHVG bildet innerhalb des Systems des Bundesgesetzes vom 14. März 1958 über die Verantwortlichkeit des Bundes sowie seiner Behördemitglieder und Beamten (VG; SR 170.32) eine Spezialbestimmung. Nach Art. 19 (Abs. 1 lit. b) VG haftet intern - auch wenn die öffentliche Aufgabe einer Organisation übertragen ist - primär der Schadensverursacher persönlich und die Organisation erst subsidiär. Es fehlen Anhaltspunkte für die Annahme, dass Art. 52 AHVG diese Verantwortlichkeit der für die Organisation handelnden Personen wegbedingen wollte ( BGE 114 V 220 f. Erw. 3b mit Hinweisen).</w:t>
      </w:r>
    </w:p>
    <w:p>
      <w:r>
        <w:rPr>
          <w:b/>
        </w:rPr>
        <w:t>E. 3.2</w:t>
      </w:r>
    </w:p>
    <w:p>
      <w:r>
        <w:t>Mit der grundsätzlichen Kritik an der Haftung der Organe hat sich auch NUSSBAUMER auseinandergesetzt (THOMAS NUSSBAUMER, Die Haftung des Verwaltungsrates nach Art. 52 AHVG , in: AJP 1996 S. 1071 ff., insbesondere S. 1075 f.). Er hat ausgeführt, weder die Definition des Arbeitgebers in Art. 12 Abs. 1 AHVG noch die Gesetzesmaterialien böten Anhaltspunkte für eine Verantwortlichkeit der Arbeitgeberorgane. Rechtfertigen lasse sich die Organhaftung letztlich nur mit der analogen Anwendung der privatrechtlichen Regeln über die Verantwortlichkeit der Organe. Privatrechtliche Bestimmungen, die den allgemeinen Rechtsgrundsätzen zugerechnet würden, hätten im Sozialversicherungsrecht auch ohne ausdrückliche Verankerung Geltung. Die Verantwortlichkeit der Organe sei bei allen Formen juristischer Personen vorgesehen und könne damit als tragendes Prinzip des Privatrechts bezeichnet werden. Das Eidgenössische Versicherungsgericht habe mit der Ausdehnung von Art. 52 AHVG auf die Organe des Arbeitgebers im Grunde genommen nur die Rechtsprechungszuständigkeit des Sozialversicherungsrichters begründet. Angesichts der dürftigen rechtlichen Basis seien jedoch die subsidiär angewendeten privatrechtlichen Verantwortlichkeitsbestimmungen im Sozialversicherungsrecht nicht ohne Grund uneinheitlich auszulegen. Inskünftig sei es aus rechtsstaatlichen Gründen angezeigt, sich insbesondere BGE 129 V 11 S. 13 mit Blick auf die Voraussetzung der Grobfahrlässigkeit privatrechtskonform zu verhalten.</w:t>
      </w:r>
    </w:p>
    <w:p>
      <w:r>
        <w:rPr>
          <w:b/>
        </w:rPr>
        <w:t>E. 3.3</w:t>
      </w:r>
    </w:p>
    <w:p>
      <w:r>
        <w:t>Angesichts der teils auf Kritik gestossenen Rechtsprechung zu Art. 52 AHVG (MAURER, a.a.O., S. 67; FORSTMOSER, a.a.O., S. 305 f.; MÜLLER/LIPP, Der Verwaltungsrat, Zürich 1994, S. 229; PETER BÖCKLI, Schweizer Aktienrecht, 2. Aufl., Zürich 1996, S. 849 Rz 1618a; NUSSBAUMER, a.a.O., S. 1079 f.; HARALD BÄRTSCHI, Verantwortlichkeit im Aktienrecht, Diss. Zürich 2001, S. 86 Fn. 376) rechtfertigt sich ein Ausblick auf Bestrebungen der Gesetzgebung. In seiner Botschaft vom 2. Februar 2000 über die 11. Revision der Alters- und Hinterlassenenversicherung und die mittelfristige Finanzierung der Alters-, Hinterlassenen- und Invalidenversicherung (BBl 2000 1865 ff.) führt der Bundesrat zu Art. 52 AHVG aus, an der heutigen Situation sei störend, dass nicht nur die Tatsache der subsidiären Organhaftung, sondern auch weitere wichtige Charakteristika der Haftung nicht im Gesetz selber geregelt seien. Im Sinne der Bürgerfreundlichkeit solle das Gesetz diesbezüglich transparenter gestaltet werden. An der Grundkonzeption werde indessen nichts geändert. Die subsidiäre Haftung der Organe einer juristischen Person entspreche allgemeinen Rechtsgrundsätzen und finde sich auch im Privatrecht. Die Organhaftung sei nicht nur sachgerecht, sondern darüber hinaus notwendig, damit die Haftung nach Art. 52 AHVG nicht toter Buchstabe bleibe. Auch die präventive Bedeutung der persönlichen Organhaftung dürfe nicht unterschätzt werden. Aus diesen Gründen sei es angezeigt, die Organhaftung im AHVG ausdrücklich zu verankern (BBl 2000 2007).</w:t>
      </w:r>
    </w:p>
    <w:p>
      <w:r>
        <w:rPr>
          <w:b/>
        </w:rPr>
        <w:t>E. 3.4</w:t>
      </w:r>
    </w:p>
    <w:p>
      <w:r>
        <w:t>In Übereinstimmung mit dieser gesetzgeberisch erwünschten präventiven Bedeutung empfehlen MÜLLER/LIPP (a.a.O., S. 231), verantwortliche Organe einer Aktiengesellschaft sollten in schlechteren Zeiten insbesondere darauf bedacht sein, die ausstehenden Sozialabgaben jederzeit zu entrichten; eine ständige Überwachung der Abrechnungen sowie der Zahlungen sei dabei unumgänglich. BÄRTSCHI (a.a.O., S. 86 f.) sieht die Rechtfertigung für die strenge Praxis darin, dass es sich bei den zurückbehaltenen Beiträgen um Lohnbestandteile handle, die nicht dem Arbeitgeber zustünden.</w:t>
      </w:r>
    </w:p>
    <w:p>
      <w:r>
        <w:rPr>
          <w:b/>
        </w:rPr>
        <w:t>E. 3.5</w:t>
      </w:r>
    </w:p>
    <w:p>
      <w:r>
        <w:t>Mit der Frage der Arbeitgeberhaftung nach Art. 52 AHVG hat sich schliesslich der Gesetzgeber im Rahmen des Erlasses eines Allgemeinen Teils zum Sozialversicherungsrecht (Bundesgesetz vom 6. Oktober 2000 über den Allgemeinen Teil des Sozialversicherungsrechts [ATSG]; BBl 2000 5041 ff.) befasst. Aus den Materialien zum ATSG ergibt sich, dass sich sowohl der Bundesrat BGE 129 V 11 S. 14 als auch das Parlament mit den geltenden Haftungsgrundsätzen auseinander gesetzt haben.</w:t>
      </w:r>
    </w:p>
    <w:p>
      <w:r>
        <w:rPr>
          <w:b/>
        </w:rPr>
        <w:t>E. 3.5.1</w:t>
      </w:r>
    </w:p>
    <w:p>
      <w:r>
        <w:t>Der Bundesrat hat in seiner vertieften Stellungnahme vom 17. August 1994 (BBl 1994 V 921ff., insbesondere 983) den Grundsatzentscheid des Eidgenössischen Versicherungsgerichts ( BGE 114 V 221 Erw. 3b) zitiert. Er hat festgestellt, nachdem das Eidgenössische Versicherungsgericht Art. 52 AHVG als Spezialbestimmung innerhalb des Systems des Verantwortlichkeitsgesetzes (VG; SR 170.32) betrachte, dränge sich eine Wiederangliederung der Bestimmung an sein Vorbild, Art. 60 OR , auf. Nach dem Willen des Bundesrates sollte die bestehende Rechtsprechung weiterhin volle Gültigkeit behalten.</w:t>
      </w:r>
    </w:p>
    <w:p>
      <w:r>
        <w:rPr>
          <w:b/>
        </w:rPr>
        <w:t>E. 3.5.2</w:t>
      </w:r>
    </w:p>
    <w:p>
      <w:r>
        <w:t>Aus dem Bericht der nationalrätlichen Kommission für soziale Sicherheit und Gesundheit vom 26. März 1999 an das Parlament (BBl 1999 4523 ff., insbesondere 4666 und 4763) ist ersichtlich, dass auch der Nationalrat an der Haftung für grobfahrlässiges Verhalten festhalten wollte. Am Gehalt der Arbeitgeberhaftung sollte nichts verändert werden. Die geltenden Grundsätze sind schliesslich auch anlässlich der Beratung im Parlament nicht in Frage gestellt worden.</w:t>
      </w:r>
    </w:p>
    <w:p>
      <w:r>
        <w:rPr>
          <w:b/>
        </w:rPr>
        <w:t>E. 3.6</w:t>
      </w:r>
    </w:p>
    <w:p>
      <w:r>
        <w:t>Wollen demnach Bundesrat und Gesetzgeber - in Kenntnis und Bestätigung der langjährigen Praxis des Eidgenössischen Versicherungsgerichts - weiterhin am geltenden System der Arbeitgeber-Organhaftung im Rahmen von Art. 52 AHVG festhalten, besteht kein Anlass, von der konstanten Rechtsprechung abzuweichen. Dabei kann dahingestellt bleiben, ob die Organhaftung mit Verweis auf das Verantwortlichkeitsgesetz begründet oder als Ausfluss eines allgemeinen Privatrechtsgrundsatzes, der auch im Sozialversicherungsrecht gilt, betrachtet wird. Jedenfalls vermögen die Beschwerdeführer weder aus dem noch nicht in Kraft gesetzten ATSG (vgl. BGE 125 II 282 Erw. 3c, BGE 119 Ia 259 Erw. 4, je mit Hinweisen) noch aus anderen Revisionsprojekten etwas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