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8</w:t>
      </w:r>
    </w:p>
    <w:p>
      <w:r>
        <w:t>Bundesgericht (BGE), 2002-11-26, FR</w:t>
      </w:r>
    </w:p>
    <w:p>
      <w:r>
        <w:rPr>
          <w:b/>
        </w:rPr>
        <w:t xml:space="preserve">Quelle: </w:t>
      </w:r>
      <w:r>
        <w:t>https://mcp.opencaselaw.ch/entscheid/bge_BGE_129_I_8</w:t>
      </w:r>
    </w:p>
    <w:p>
      <w:r>
        <w:t>FR: ATF 129 I 8</w:t>
      </w:r>
    </w:p>
    <w:p>
      <w:r>
        <w:t>IT: DTF 129 I 8</w:t>
      </w:r>
    </w:p>
    <w:p>
      <w:pPr>
        <w:pStyle w:val="Heading2"/>
      </w:pPr>
      <w:r>
        <w:t>Regeste</w:t>
      </w:r>
    </w:p>
    <w:p>
      <w:r>
        <w:t>Regeste Art. 9 BV, Art. 3 des Genfer Reglements vom 9. April 1997 über die Gerichtskosten in Zivilsachen; willkürliche Anwendung von kantonalem Recht. Dem Gericht, welches den Betrag des Kostenvorschusses festsetzt und dem Kläger eine Frist zur Zahlung einräumt, obliegt der Beweis, dass die in Frage stehende Frist der Partei korrekt angesetzt wurde (E. 2).</w:t>
      </w:r>
    </w:p>
    <w:p>
      <w:r>
        <w:t>Regeste Art. 9 Cst., art. 3 du Règlement genevois du 9 avril 1997 fixant le tarif des greffes en matière civile; application arbitraire du droit cantonal. Il appartient à la juridiction, qui doit déterminer le montant de l'avance des frais judiciaires et impartir un délai au plaideur pour en opérer le paiement, de procéder de manière à pouvoir établir que le délai en cause a été correctement fixé au justiciable (consid. 2).</w:t>
      </w:r>
    </w:p>
    <w:p>
      <w:r>
        <w:t>Regesto Art. 9 Cost., art. 3 del Regolamento ginevrino del 9 aprile 1997 sulla tariffa giudiziaria in ambito civile; applicazione arbitraria del diritto cantonale. Il giudice adito, che deve determinare l'ammontare dell'anticipo delle spese giudiziarie e assegnare all'attore un termine per effettuarne il pagamento, è tenuto a procedere in modo da poter poi dimostrare che il termine in questione è stato correttamente impartito (consid. 2).</w:t>
      </w:r>
    </w:p>
    <w:p>
      <w:pPr>
        <w:pStyle w:val="Heading2"/>
      </w:pPr>
      <w:r>
        <w:t>Erwägungen</w:t>
      </w:r>
    </w:p>
    <w:p>
      <w:r>
        <w:rPr>
          <w:b/>
        </w:rPr>
        <w:t>E. 2.1</w:t>
      </w:r>
    </w:p>
    <w:p>
      <w:r>
        <w:t>La recourante se plaint en premier lieu d'arbitraire dans l'appréciation des preuves et l'établissement des faits. 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127 I 54 consid. 2b, 60 consid. 5a p. 70; ATF 126 I 168 consid. 3a; ATF 125 I 166 consid. 2a). 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w:t>
      </w:r>
    </w:p>
    <w:p>
      <w:r>
        <w:rPr>
          <w:b/>
        </w:rPr>
        <w:t>E. 2.2</w:t>
      </w:r>
    </w:p>
    <w:p>
      <w:r>
        <w:t>Selon l'art. 3 al. 1 du Règlement genevois du 9 avril 1997 fixant le tarif des greffes en matière civile (E 3 05.10), l'émolument de mise au rôle et les sûretés destinées à garantir le paiement de l'émolument complémentaire ou de décision sont perçus auprès de la partie demanderesse sous peine d'irrecevabilité de la demande. BGE 129 I 8 S. 10 Il ne ressort pas des dispositions cantonales citées par les parties - conformément à l'exigence déduite de l' art. 90 al. 1 let. b OJ ( ATF 110 Ia 1 consid. 2a) - que la partie demanderesse devrait elle-même déterminer le montant de l'émolument de mise au rôle et le verser spontanément soit au moment du dépôt de la demande, soit dans un délai qui serait fixé directement par une norme applicable. On doit donc en déduire qu'il incombe à la juridiction de déterminer le montant de l'émolument et d'impartir un délai au demandeur pour lui permettre d'en effectuer le paiement sous peine d'irrecevabilité. Cette manière d'opérer est d'ailleurs usuelle en Suisse. L'existence de la formule figurant dans le dossier cantonal confirme que le Tribunal de première instance procède habituellement de cette façon. La recourante pouvait donc se fier à cette pratique selon le principe de la bonne foi due par l'administration. Dans son jugement, le tribunal se réfère expressément au courrier du 22 mai 2002, admettant ainsi, au moins implicitement, que la formule avait été déposée à la poste et acheminée à son destinataire. Il ressort clairement de la motivation cantonale que la demande a été déclarée irrecevable parce que la recourante n'a pas payé l'émolument de mise au rôle "dans le délai qui lui a été imparti". Or, la recourante conteste qu'un délai lui ait été fixé, puisqu'elle affirme n'avoir pas reçu le courrier du 22 mai 2002 (la formule) auquel se réfère la décision attaquée. L'autorité cantonale, qui n'a pas présenté d'observations, n'invoque aucun élément de preuve concret d'où il ressortirait que cette formule a été déposée à la poste et qu'elle a été notifiée à son destinataire. Elle ne semble pas contester que le greffe envoie ces formules sous pli simple. Le fardeau de la preuve de la notification et de la date de celle-ci incombe en principe à l'autorité qui entend en tirer une conséquence juridique ( ATF 124 V 400 consid. 2a; 122 I 97 consid. 3b; 114 III 51 consid. 3c et 4). Le jugement querellé entraîne des conséquences juridiques évidentes, puisque, en raison du délai légal, il prive la recourante de la possibilité d'agir en libération de dette ( art. 83 al. 2 LP ). Dès lors que le constat que l'avance n'avait pas été effectuée en temps utile devait entraîner la perte de cette action en justice, la juridiction intimée devait procéder de manière à pouvoir établir que le délai avait été correctement imparti à la demanderesse. Il n'existe aucune présomption de fait selon laquelle la production d'une copie d'un message suffirait pour admettre que l'original BGE 129 I 8 S. 11 a été déposé à la poste et acheminé à son destinataire. C'est d'ailleurs bien pour cette raison que les particuliers usent, pour les messages importants, de la voie de la lettre-signature et que les tribunaux utilisent la notification par acte judiciaire avec accusé de réception. Le Tribunal fédéral procède lui-même de cette façon pour requérir les avances de frais. Il est certes peu probable que l'original ait été égaré au greffe, qu'un fonctionnaire ait oublié de le déposer à la poste ou que cette dernière se soit trompée dans l'acheminement. De telles hypothèses ne peuvent cependant pas être exclues. En l'absence de tout autre élément de preuve, le tribunal, au moment de rendre son jugement, ne disposait manifestement que de l'exemplaire non signé de la formule qui se trouve dans le dossier. Un tel document est impropre à fonder la conviction qu'il existait un original, que celui-ci a été déposé à la poste et correctement acheminé à son destinataire. En déclarant la demande irrecevable pour le motif que la recourante n'avait pas versé l'avance dans le délai qui lui avait été imparti, le tribunal s'est fondé sur un état de fait arrêté arbitrairement, puisqu'il ne disposait d'aucune preuve sérieuse que l'avis était parvenu dans la sphère d'influence de la recourante. Dès lors qu'il y a eu arbitraire dans la constatation des faits pertinents, le recours doit être admis et le jugement déféré annulé, sans qu'il soit nécessaire d'examiner les autres griefs invoqués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