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w:t>
      </w:r>
    </w:p>
    <w:p>
      <w:r>
        <w:t>Bundesgericht (BGE), 2002-11-06, DE</w:t>
      </w:r>
    </w:p>
    <w:p>
      <w:r>
        <w:rPr>
          <w:b/>
        </w:rPr>
        <w:t xml:space="preserve">Quelle: </w:t>
      </w:r>
      <w:r>
        <w:t>https://mcp.opencaselaw.ch/entscheid/bge_BGE_129_I_1</w:t>
      </w:r>
    </w:p>
    <w:p>
      <w:r>
        <w:t>FR: ATF 129 I 1</w:t>
      </w:r>
    </w:p>
    <w:p>
      <w:r>
        <w:t>IT: DTF 129 I 1</w:t>
      </w:r>
    </w:p>
    <w:p>
      <w:pPr>
        <w:pStyle w:val="Heading2"/>
      </w:pPr>
      <w:r>
        <w:t>Regeste</w:t>
      </w:r>
    </w:p>
    <w:p>
      <w:r>
        <w:t>Regeste Willkür in der Rechtssetzung (Art. 9 BV), Rechtsgleichheit in der Rechtssetzung (Art. 8 Abs. 1 BV), inzidente Normenkontrolle; Alimentenbevorschussung (Berücksichtigung der finanziellen Verhältnisse des Konkubinatspartners). Die kantonale Bestimmung, wonach das Einkommen des Konkubinatspartners des obhutsberechtigten Elternteils anrechenbar ist, Alimentenbevorschussung also nur gewährt wird, wenn die Einkommen beider Partner zusammen die Bevorschussungsgrenze nicht übersteigen, hält vor dem Willkürverbot stand (E. 3.1). Die dargestellte Regelung kann, soweit die Zulässigkeit der Gleichbehandlung von Stiefelternteil und Konkubinatspartner in Frage steht, verfassungskonform ausgelegt werden. Damit steht auch Art. 8 Abs. 1 BV der Anwendung der beanstandeten Norm nicht entgegen (E. 3.2).</w:t>
      </w:r>
    </w:p>
    <w:p>
      <w:r>
        <w:t>Regeste Arbitraire (art. 9 Cst.) et égalité dans la loi (art. 8 al. 1 Cst.), contrôle concret des normes; avance de pensions alimentaires (prise en compte de la situation financière des concubins). La disposition cantonale, selon laquelle les revenus du concubin du parent ayant droit sont pris en compte, et l'avance alimentaire octroyée seulement si le revenu total des deux concubins ne dépasse pas la limite fixée, n'est pas arbitraire (consid. 3.1). S'agissant de l'égalité de traitement entre beaux-parents et concubins, cette disposition est susceptible d'une interprétation conforme à la Constitution, et l'art. 8 al. 1 Cst. ne s'oppose dès lors pas à son application (consid. 3.2).</w:t>
      </w:r>
    </w:p>
    <w:p>
      <w:r>
        <w:t>Regesto Arbitrio (art. 9 Cost.) e parità di trattamento nella legge (art. 8 cpv. 1 Cost.), controllo concreto delle norme; anticipo degli alimenti (considerazione della situazione finanziaria dei concubini). La disposizione cantonale secondo cui il reddito del concubino del genitore che ha la custodia del figlio è computabile e l'anticipo del contributo alimentare concesso solo quando il reddito complessivo dei concubini non ecceda il limite fissato, non è arbitraria (consid. 3.1). Nella misura in cui sia in discussione la parità di trattamento fra patrigno, rispettivamente matrigna, e concubini, la norma può essere interpretata in modo conforme alla Costituzione, di modo che la sua applicazione non viola l'art. 8 cpv. 1 Cost. (consid. 3.2).</w:t>
      </w:r>
    </w:p>
    <w:p>
      <w:pPr>
        <w:pStyle w:val="Heading2"/>
      </w:pPr>
      <w:r>
        <w:t>Erwägungen</w:t>
      </w:r>
    </w:p>
    <w:p>
      <w:r>
        <w:rPr>
          <w:b/>
        </w:rPr>
        <w:t>E. 1.1</w:t>
      </w:r>
    </w:p>
    <w:p>
      <w:r>
        <w:t>Gemäss Art. 4 Abs. 1 lit. a des kantonalen Gesetzes über Inkassohilfe und Vorschüsse für Unterhaltsbeiträge vom 28. Juni 1979 (GIVU; sGS 911.51) wird der Kindesunterhaltsbeitrag bevorschusst, wenn das anrechenbare Einkommen das Mindesteinkommen nicht BGE 129 I 1 S. 3 übersteigt. Er wird teilweise bevorschusst, wenn das anrechenbare Einkommen die Bevorschussungsgrenze nicht übersteigt (Art. 4 Abs. 1 lit. b GIVU). Es besteht allerdings kein Anspruch auf Vorschüsse, wenn der Unterhalt des Kindes anderweitig gesichert ist (Art. 3 lit. b GIVU). Art. 4bis GIVU hat die Ermittlung des anrechenbaren Einkommens zum Gegenstand. Diese Bestimmung ist mit dem zweiten Nachtragsgesetz zum GIVU vom 11. November 1999 geändert worden. Seither lautet deren erster Absatz wie folgt: "Anrechenbar ist das Einkommen des obhutsberechtigten Elternteils, des Konkubinatspartners und des Stiefelternteils." Die Neuordnung hat zum Ziel, die Bevorzugung von Konkubinatspaaren gegenüber Ehepaaren zu verhindern (Protokoll des Grossen Rates des Kantons St. Gallen vom 4. Mai 1999, S. 3235). Es sei nicht einzusehen, weshalb das Einkommen des Stiefvaters, der ebenfalls kein leiblicher Vater des zur Bevorschussung in Frage kommenden Kindes sei, im Gegensatz zum Konkubinatspartner angerechnet werden solle (a.a.O., S. 3242). (...)</w:t>
      </w:r>
    </w:p>
    <w:p>
      <w:r>
        <w:rPr>
          <w:b/>
        </w:rPr>
        <w:t>E. 3</w:t>
      </w:r>
    </w:p>
    <w:p>
      <w:r>
        <w:t>Nach der Auffassung des Beschwerdeführers ist Art. 4bis Abs. 1 GIVU willkürlich und verletzt den allgemeinen Gleichheitssatz des Art. 8 Abs. 1 BV . Ein Erlass ist willkürlich,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 BGE 124 I 297 E. 3b S. 299; BGE 123 II 16 E. 6a S. 26). Dem Gesetzgeber verbleibt bei der Verfolgung gesetzgebungspolitischer Ziele und der dazu eingesetzten Mittel ein weiter Gestaltungsspielraum ( BGE 124 I 297 E. 3b S. 299; BGE 121 I 102 E. 4a S. 104; BGE 110 Ia 7 E. 2b S. 13 f.).</w:t>
      </w:r>
    </w:p>
    <w:p>
      <w:r>
        <w:rPr>
          <w:b/>
        </w:rPr>
        <w:t>E. 3.1</w:t>
      </w:r>
    </w:p>
    <w:p>
      <w:r>
        <w:t>Der Beschwerdeführer macht geltend, eine Regelung, wonach die staatliche Bevorschussung der Kinderalimente auch gegenüber zu erwartenden Unterhaltsleistungen durch den Konkubinatspartner subsidiär sei, sei willkürlich. Ausserdem sei die Norm leicht zu umgehen; ihre Durchsetzbarkeit sei höchst zweifelhaft. Er bestreitet demgegenüber nicht, dass der Unterhalt des Kindes anderweitig BGE 129 I 1 S. 4 gesichert ist im Sinne von Art. 3 lit. b GIVU, wenn sich ein Konkubinatspartner von sich aus bereit erklärt, das Kind des anderen Partners zu unterstützen (vgl. dazu FELIX WOLFFERS, Grundriss des Sozialhilferechts, 2. Aufl., Bern 1999, S. 161; vgl. zur Berücksichtigung der faktischen Unterstützung unter Konkubinatspartnern das Urteil 2P.386/1997 vom 24. August 1998, publ. in: Freiburger Zeitschrift für Rechtsprechung [FZR] 1998 S. 396 ff., insb. E. 3c). Von Willkür in der Rechtsetzung kann indessen keine Rede sein. Denn die Tatsache, dass Konkubinatspartner sich zur Gründung eines Haushaltes mit einem nicht gemeinsamen Kind entschliessen, stellt durchaus einen rationalen Anknüpfungspunkt dar für die in Frage stehende Regelung. Dies selbst in der Auslegung, wie sie von der Gemeinde Kirchberg zugrunde gelegt wird und wonach jedes Eingehen eines Konkubinats zur Folge hat, dass die Einkommen beider Partner angerechnet werden. Es ist zwar zutreffend, dass durch eine derartige Bestimmung nicht das Kindeswohl, sondern die Frage der Be- bzw. Entlastung des neuen Partners ins Zentrum gestellt wird. Dem Bundesgericht steht es jedoch im Rahmen der Willkürprüfung nicht zu, den Gestaltungsspielraum des kantonalen Gesetzgebers durch eine eigene Gestaltungsvorstellung zu schmälern (vgl. dazu BGE 114 Ia 321 E. 3b S. 324; BGE 110 Ia 7 E. 2b S. 14, je mit Hinweisen). Willkürlich ist die Norm auch nicht deshalb, weil sich möglicherweise Schwierigkeiten bei der Feststellung des Sachverhalts des Konkubinats ergeben. Das Bundesgericht hat im Übrigen festgestellt, dass auch der durch die Rechtsprechung zur Rechtsmissbrauchsschranke des Anspruchs auf nachehelichen Unterhalt festgelegten zeitlichen Limite für die Annahme eines stabilen Konkubinats etwas Willkürliches anhaftet ( BGE 109 II 188 E. 2 S. 191). Zudem führt das Verwaltungsgericht zu Recht aus, dass die persönlichen und finanziellen Verhältnisse im Rahmen der Prüfung der Anspruchsberechtigung zu deklarieren sind (vgl. dazu auch den Nachtrag vom 22. Mai 2001 zur Vollzugsverordnung zum GIVU vom 15. Oktober 1979 [sGS 911.511], insb. Art. 6). Wie ausgeführt ergibt sich somit, dass der kantonale Gesetzgeber mit Erlass des Art. 4bis Abs. 1 GIVU nicht in Willkür verfallen ist.</w:t>
      </w:r>
    </w:p>
    <w:p>
      <w:r>
        <w:rPr>
          <w:b/>
        </w:rPr>
        <w:t>E. 3.2</w:t>
      </w:r>
    </w:p>
    <w:p>
      <w:r>
        <w:t>Des Weiteren macht der Beschwerdeführer geltend, die Regelung des Art. 4bis Abs. 1 GIVU führe zu einer verfassungsrechtlich nicht haltbaren Gleichbehandlung von Stiefelternteil und Konkubinatspartner. Dabei anerkennt er ausdrücklich, dass tatsächliche, durch das Zusammenleben erlangte Vorteile wie die im Austausch gegen Hausarbeit erbrachten Leistungen als anrechenbares Einkommen BGE 129 I 1 S. 5 des sorgeberechtigten Elternteils zu berücksichtigen sind (vgl. zur Anrechnung der Haushaltführung WOLFFERS, a.a.O., S. 160). Es sei hingegen nicht gerechtfertigt, diesem das gesamte Einkommen des Konkubinatspartners zuzurechnen.</w:t>
      </w:r>
    </w:p>
    <w:p>
      <w:r>
        <w:rPr>
          <w:b/>
        </w:rPr>
        <w:t>E. 3.2.1</w:t>
      </w:r>
    </w:p>
    <w:p>
      <w:r>
        <w:t>Würde die Regelung des Art. 4bis Abs. 1 GIVU so verstanden, dass sie die Subsidiarität der staatlichen Leistung bereits gegenüber der zu erwartenden Unterstützung durch den Konkubinatspartner unabhängig von der Stabilität der Konkubinatsbeziehung statuiert, sobald das Paar eine gemeinsame Wohnung bezieht, würde dies dazu führen, dass diejenigen Konkubinatspartner, die mit einem obhutsberechtigten Partner einen gemeinsamen Haushalt gründen, generell gleich behandelt werden wie ein Stiefelternteil.</w:t>
      </w:r>
    </w:p>
    <w:p>
      <w:r>
        <w:rPr>
          <w:b/>
        </w:rPr>
        <w:t>E. 3.2.2</w:t>
      </w:r>
    </w:p>
    <w:p>
      <w:r>
        <w:t>Das Bundesgericht hat in BGE 112 Ia 251 E. 4 S. 258 f. festgehalten, es verstosse nicht gegen die Rechtsgleichheit, wenn das Einkommen bzw. das Vermögen eines Stiefelternteils im Rahmen der Prüfung, ob die Bevorschussungsgrenze erreicht sei, mitberücksichtigt werde, während unter gleichen Voraussetzungen bei Konkubinatsbeziehungen nach wie vor bloss die wirtschaftlichen Verhältnisse des nicht verpflichteten Elternteils in Betracht gezogen werden. Der Konkubinatspartner habe insbesondere keinen Anspruch auf Beistand durch den anderen Partner nach Art. 278 Abs. 2 ZGB . Gerade hier liege denn auch der entscheidende Unterschied zwischen dem verheirateten und dem im Konkubinat lebenden nicht verpflichteten Elternteil. Weil der verheiratete Elternteil einen privatrechtlichen Anspruch auf Beistand gegenüber dem Stiefelternteil habe, lasse sich eine Mitberücksichtigung des Einkommens und Vermögens des Stiefelternteils und damit eine Ungleichbehandlung mit dem im Konkubinat lebenden, nicht verpflichteten Elternteil rechtfertigen. Es stellt sich nun die Frage, ob sich aus dieser Argumentation im Umkehrschluss die generelle Unzulässigkeit der Gleichbehandlung von Stiefelternteil und Konkubinatspartner ergibt.</w:t>
      </w:r>
    </w:p>
    <w:p>
      <w:r>
        <w:rPr>
          <w:b/>
        </w:rPr>
        <w:t>E. 3.2.3</w:t>
      </w:r>
    </w:p>
    <w:p>
      <w:r>
        <w:t>In der Doktrin wird einerseits die Position vertreten, da keine gesetzliche Beistandspflicht des Konkubinatspartners bestehe, sei es auch nicht zulässig, demselben den hypothetischen Willen zu unterschieben, mit der Begründung einer eheähnlichen Lebensgemeinschaft auch für die eingebrachten Kinder des Konkubinatspartners zu sorgen. Soweit der Nachweis nicht offen stehe, dass die Unterhaltsleistung nicht erbracht wird, müsse eine derartige Praxis abgelehnt werden (ANDREAS HAFFTER, Der Unterhalt des Kindes als Aufgabe von Privatrecht und öffentlichem Recht, Diss. Zürich 1984, BGE 129 I 1 S. 6 S. 251). Nach WOLFFERS ist es vertretbar, im Sinne einer Tatsachenvermutung auch im Sozialhilferecht davon auszugehen, dass sich die Partner im stabilen Konkubinat, wie es durch die bundesgerichtliche Praxis zum nachehelichen Unterhalt definiert worden ist, gegenseitig materiell unterstützen. Zulässig müsse auch hier der Gegenbeweis bleiben (a.a.O., S. 162; vgl. dazu auch PETER STADLER, Unterstützung von Konkubinatspartnern, in: Zeitschrift für Sozialhilfe [ZeSo] 1999 S. 29 ff., insb. S. 31). Diese Vermutung soll namentlich für ein Paar in gefestigtem Konkubinat mit gemeinsamem Kind gelten (ZeSo 1998 S. 107 f.). Mehrere kantonale Gerichtsentscheide setzen auch ein stabiles Konkubinat voraus, wenn das Einkommen des Konkubinatspartners im Rahmen der Prüfung des Anspruchs auf Alimentenbevorschussung angerechnet werden soll (vgl. nur den Entscheid des Verwaltungsgerichts des Kantons Basel-Landschaft vom 29. April 1987, publ. in: BLVGE 1987 S. 131 ff., sowie denjenigen des Obergerichts des Kantons Schaffhausen vom 17. Mai 1991, publ. in: ABSH 1991 S. 123 ff.). Dabei geht das Verwaltungsgericht des Kantons Graubünden davon aus, dass es sich rechtfertige, die Frage, ob der obhutsberechtigte Elternteil tatsächlich in einem eheähnlichen Verhältnis lebe, aufgrund restriktiverer Kriterien - d.h. geringeren Anforderungen - zu beantworten, als dies im Falle des Rentenanspruches geschiedener Ehegatten, die im Konkubinat leben, nach bundesgerichtlicher Praxis gefordert ist. Demnach könne eine eheähnliche Beziehung zweier Konkubinatspartner bereits nach kurzer Zeit angenommen werden (Entscheid vom 3. März 1995, publ. in: PVG 1995 Nr. 13, insb. E. 2b).</w:t>
      </w:r>
    </w:p>
    <w:p>
      <w:r>
        <w:rPr>
          <w:b/>
        </w:rPr>
        <w:t>E. 3.2.4</w:t>
      </w:r>
    </w:p>
    <w:p>
      <w:r>
        <w:t>Der allgemeine Gleichheitssatz garantiert die Gleichbehandlung aller Rechtsunterworfenen durch die staatlichen Organe. Das Differenzierungsgebot verlangt, dass Ungleiches nach Massgabe seiner Ungleichheit ungleich behandelt wird. Das Konkubinat ist kein Institut des Familienrechts; dem Konkubinatspartner stehen keine Unterhalts- und Beistandsansprüche gegen den anderen Partner zu. Vielmehr steht es den Partnern frei, die Beziehungen unter sich durch vertragliche Vereinbarungen zu regeln. Insbesondere hat der Konkubinatspartner keinen Anspruch auf Beistand nach Art. 278 Abs. 2 ZGB ( BGE 112 Ia 251 E. 4b S. 258 f. mit Hinweis). Indessen ist nicht von der Hand zu weisen, dass das Konkubinat gegenüber der Ehe begünstigt wird, wenn die finanziellen Verhältnisse des Stiefelternteils bei der Ermittlung des anrechenbaren Einkommens berücksichtigt werden, diejenigen namentlich des langjährigen Konkubinatspartners jedoch nicht (vgl. CYRIL HEGNAUER, Der Unterhalt BGE 129 I 1 S. 7 des Stiefkindes nach schweizerischem Recht, in: Festschrift für Wolfram Müller-Freienfels, Baden-Baden 1986, S. 271 ff., S. 286; vgl. auch das erwähnte Urteil vom 24. August 1998, E. 3d). Diese Umstände lassen die Anrechnung des Einkommens des in einem stabilen Konkubinat lebenden Partners angesichts des dem kantonalen Gesetzgeber eingeräumten Gestaltungsspielraums als vertretbar erscheinen.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 BGE 129 I 1 S. 8 Insgesamt erweist sich die der akzessorischen Normenkontrolle zu unterwerfende Bestimmung, soweit die Zulässigkeit der Gleichbehandlung von Stiefelternteil und Konkubinatspartner in Frage steht, als verfassungskonformer Auslegung zugänglich. Damit steht der Anwendung der beanstandeten Norm auf den vorliegenden Fall insoweit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