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209</w:t>
      </w:r>
    </w:p>
    <w:p>
      <w:r>
        <w:t>Bundesgericht (BGE), 2003-05-08, FR</w:t>
      </w:r>
    </w:p>
    <w:p>
      <w:r>
        <w:rPr>
          <w:b/>
        </w:rPr>
        <w:t xml:space="preserve">Quelle: </w:t>
      </w:r>
      <w:r>
        <w:t>https://mcp.opencaselaw.ch/entscheid/bge_BGE_129_IV_209</w:t>
      </w:r>
    </w:p>
    <w:p>
      <w:r>
        <w:t>FR: ATF 129 IV 209</w:t>
      </w:r>
    </w:p>
    <w:p>
      <w:r>
        <w:t>IT: DTF 129 IV 209</w:t>
      </w:r>
    </w:p>
    <w:p>
      <w:pPr>
        <w:pStyle w:val="Heading2"/>
      </w:pPr>
      <w:r>
        <w:t>Regeste</w:t>
      </w:r>
    </w:p>
    <w:p>
      <w:r>
        <w:t>Regeste Art. 38 Ziff. 4 StGB; Rückversetzung. Wird eine bedingt aus dem Strafvollzug entlassene Person wegen Straftaten, die sie teils vor der Verurteilung zu der Strafe, aus deren Vollzug sie bedingt entlassen worden ist, und teils während der Probezeit verübt hat, zu einer drei Monate übersteigenden, unbedingt vollziehbaren Gesamtstrafe verurteilt, so muss bestimmt werden, ob die Strafe wegen der während der Probezeit begangenen Straftat(en) drei Monate übersteigt (E. 1). Dabei hat der Richter nicht auf eine prozentuale Quote der Gesamtstrafe abzustellen, sondern die Strafe zu bestimmen, die er ausfällen würde, wenn er einzig die während der Probezeit verübten Straftaten zu beurteilen hätte (Präzisierung der Rechtsprechung; E. 3).</w:t>
      </w:r>
    </w:p>
    <w:p>
      <w:r>
        <w:t>Regeste Art. 38 ch. 4 CP; réintégration. Lorsque le bénéficiaire d'une libération conditionnelle est condamné à une peine privative de liberté ferme de plus de trois mois au titre de peine d'ensemble, pour des actes délictueux commis, en partie, avant la précédente condamnation ayant donné lieu à la libération conditionnelle et, en partie, durant le délai d'épreuve, il y a lieu de déterminer si la peine qui sanctionne l'infraction ou les infractions commises durant le délai d'épreuve est supérieure à trois mois d'incarcération (consid. 1). Pour ce faire, le juge ne doit pas se fonder sur un pourcentage de la peine d'ensemble, mais apprécier la peine qu'il aurait prononcée s'il avait dû juger ces seules infractions (précision de la jurisprudence; consid. 3).</w:t>
      </w:r>
    </w:p>
    <w:p>
      <w:r>
        <w:t>Regesto Art. 38 n. 4 CP; ricollocamento. Quando il beneficiario di una liberazione condizionale è nuovamente condannato ad una pena privativa della libertà superiore a tre mesi a titolo di pena complessiva, per atti delittuosi compiuti in parte prima della precedente condanna che ha dato luogo alla liberazione condizionale e, in parte, durante il periodo di prova, occorre stabilire se la pena che sanziona l'infrazione o le infrazioni commesse durante il periodo di prova è superiore ai tre mesi di detenzione (consid. 1). A tale proposito, il giudice non deve fondarsi su una percentuale della pena complessiva, ma deve apprezzare la pena che avrebbe pronunciato se avesse dovuto giudicare solo queste infrazioni (precisazione della giurisprudenza; consid. 3).</w:t>
      </w:r>
    </w:p>
    <w:p>
      <w:pPr>
        <w:pStyle w:val="Heading2"/>
      </w:pPr>
      <w:r>
        <w:t>Erwägungen</w:t>
      </w:r>
    </w:p>
    <w:p>
      <w:r>
        <w:rPr>
          <w:b/>
        </w:rPr>
        <w:t>E. 1</w:t>
      </w:r>
    </w:p>
    <w:p>
      <w:r>
        <w:t>Selon l' art. 38 ch. 4 al. 1er CP , l'autorité compétente doit ordonner la réintégration du libéré s'il commet, pendant le délai d'épreuve, une infraction pour laquelle il est condamné sans sursis à une peine privative de liberté de plus de trois mois. Si le libéré est frappé d'une peine moins sévère ou prononcée avec sursis, l'autorité compétente pourra renoncer à la réintégration. Suivant la jurisprudence, si le libéré est condamné à une peine privative de liberté ferme de plus de trois mois au titre de peine d'ensemble, pour des actes délictueux commis en partie durant le délai d'épreuve et en partie après l'échéance de celui-ci, l'autorité cantonale compétente doit, avant d'ordonner la réintégration en application de l' art. 38 ch. 4 al. 1er CP , demander à l'autorité qui a prononcé la condamnation si la partie de la peine réprimant l'infraction commise pendant le délai d'épreuve est supérieure à trois mois d'incarcération ( ATF 104 Ib 21 consid. 1 p. 22; ATF 101 Ib 154 consid. c p. 155 s.). En l'espèce, les infractions ont été commises, en partie, avant la précédente condamnation ayant donné lieu à la libération conditionnelle - et donc avant le délai d'épreuve - et, en partie, pendant le délai d'épreuve. Le problème est cependant le même. Il s'agit de fixer la quote-part de la peine se rapportant aux infractions perpétrées pendant le délai d'épreuve. C'est donc à juste titre que le SAPEM s'est adressé au Tribunal de police genevois pour fixer la peine se rapportant aux infractions commises dès le 3 avril 2002. (...)</w:t>
      </w:r>
    </w:p>
    <w:p>
      <w:r>
        <w:rPr>
          <w:b/>
        </w:rPr>
        <w:t>E. 3</w:t>
      </w:r>
    </w:p>
    <w:p>
      <w:r>
        <w:t>Si le principe d'une répartition de la peine ("Quotenausscheidung") est acquis (voir consid. 1), la technique pour calculer la quote-part de la peine déterminante est controversée. BGE 129 IV 209 S. 212 Le recourant part du principe que la répartition de la peine doit se faire proportionnellement entre les différentes infractions. Il soutient qu'au vu des autres infractions qui ont été retenues à son encontre (trois vols en bande, six faux dans les certificats, six faux dans les titres), le vol en bande et le recel, commis pendant le délai d'épreuve, ne sauraient être frappés d'une peine représentant un tiers (et encore moins une demie) de la peine totale. Cette manière de voir ne saurait cependant être suivie, dès lors qu'elle revient à favoriser le libéré qui a commis d'autres infractions, que ce soit avant ou après le délai d'épreuve, et à lui accorder une sorte de "rabais de quantité". Dans la mesure où l' ATF 104 Ib 21 entend se fonder sur une répartition proportionnelle de la peine, il convient dès lors de s'en écarter. Suivant l'avis de la doctrine, il y a lieu, au contraire, de fixer une peine hypothétique, de manière indépendante, pour l'infraction ou les infractions commises durant le délai d'épreuve (TRECHSEL, Schweizerisches Strafgesetzbuch, Kurzkommentar, 2e éd., Zurich 1997, n. 16 ad art. 38 CP ; ANDREA BAECHTOLD, Basler Kommentar, Strafgesetzbuch I, 2002, n. 37 ad art. 38 CP ). En l'espèce, l' art. 139 ch. 3 al. 2 CP prévoit pour le vol en bande une peine minimale de six mois d'emprisonnement. L'autorité de recours n'a dès lors pas violé le droit fédéral en déclarant que les premiers juges n'avaient pas outrepassé leur pouvoir d'appréciation en fixant à quatre mois la peine afférente aux deux infractions commises pendant le délai d'épreuve.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