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130</w:t>
      </w:r>
    </w:p>
    <w:p>
      <w:r>
        <w:t>Bundesgericht (BGE), 2003-01-01, DE</w:t>
      </w:r>
    </w:p>
    <w:p>
      <w:r>
        <w:rPr>
          <w:b/>
        </w:rPr>
        <w:t xml:space="preserve">Quelle: </w:t>
      </w:r>
      <w:r>
        <w:t>https://mcp.opencaselaw.ch/entscheid/bge_BGE_129_IV_130</w:t>
      </w:r>
    </w:p>
    <w:p>
      <w:r>
        <w:t>FR: ATF 129 IV 130</w:t>
      </w:r>
    </w:p>
    <w:p>
      <w:r>
        <w:t>IT: DTF 129 IV 130</w:t>
      </w:r>
    </w:p>
    <w:p>
      <w:pPr>
        <w:pStyle w:val="Heading2"/>
      </w:pPr>
      <w:r>
        <w:t>Regeste</w:t>
      </w:r>
    </w:p>
    <w:p>
      <w:r>
        <w:t>Regeste Art. 251 Ziff. 1 Abs. 1 und Art. 110 Ziff. 5 StGB; Art. 957 ff. OR; Rückdatieren von buchhalterischen Geschäftsvorgängen, Falschbeurkundung. Der kaufmännischen Buchhaltung kommt ungeachtet einer fehlenden gesetzlichen Buchführungspflicht Urkundencharakter zu (Bestätigung der Rechtsprechung; E. 2.2). Wer Geschäftsvorgänge rückdatiert, deren Belege für die kaufmännische Buchhaltung bestimmt sind, begeht bereits mit der Rückdatierung eine Falschbeurkundung, wenn die Buchung das von der kaufmännischen Buchführung zu vermittelnde Bild verfälscht (E. 2.3 und 3).</w:t>
      </w:r>
    </w:p>
    <w:p>
      <w:r>
        <w:t>Regeste Art. 251 ch. 1 al. 1 et art. 110 ch. 5 CP; art. 957 ss CO; pièce comptable antidatée, faux (intellectuel) dans les titres. La comptabilité commerciale a le caractère d'un titre même en l'absence d'obligation légale de tenir une comptabilité (confirmation de la jurisprudence; consid. 2.2). Celui qui antidate des documents destinés à la comptabilité commerciale commet un faux intellectuel dans les titres du seul fait de les avoir antidatés si cela fausse l'image de la comptabilité commerciale (consid. 2.3 et 3).</w:t>
      </w:r>
    </w:p>
    <w:p>
      <w:r>
        <w:t>Regesto Art. 251 n. 1 cpv. 1 e art. 110 n. 5 CP; art. 957 segg. CO; retrodatazione di operazioni contabili relative alla gestione, falsità ideologica in documenti. La contabilità commerciale assume carattere di documento anche in assenza di un obbligo legale di tenere la contabilità (conferma della giurisprudenza; consid. 2.2). Chi retrodata operazioni di gestione, i cui giustificativi sono destinati alla contabilità, commette falsità ideologica in documenti già al momento della retrodatazione, se l'allibramento falsifica l'immagine della contabilità commerciale (consid. 2.3 e 3).</w:t>
      </w:r>
    </w:p>
    <w:p>
      <w:pPr>
        <w:pStyle w:val="Heading2"/>
      </w:pPr>
      <w:r>
        <w:t>Erwägungen</w:t>
      </w:r>
    </w:p>
    <w:p>
      <w:r>
        <w:rPr>
          <w:b/>
        </w:rPr>
        <w:t>E. 1</w:t>
      </w:r>
    </w:p>
    <w:p>
      <w:r>
        <w:t>Der Beschwerdeführer anerkennt den Sachverhalt. Er bringt unter Hinweis auf einen Entscheid des Bundesgerichts (6S.618/2001 vom 18. Januar 2001) vor, weder der Aktienkaufvertrag noch die Abtretungserklärung stellten Urkunden im strafrechtlichen Sinne dar. Die beiden Dokumente seien genauso wenig wie das im Bundesgerichtsentscheid genannte Kündigungsschreiben ein Buchhaltungsbeleg "im buchführungstechnischen Sinne". Daran ändere nichts, dass die Buchhalterin der Firmen von D. im Gegensatz zum Buchhalter im Entscheid des Bundesgerichts nicht gutgläubig gewesen sei. Das Verhalten des Beschwerdeführers habe sich in der Mithilfe bei der Redaktion der beiden Dokumente erschöpft. Ein allfälliges Billigen der nachträglichen Verbuchung könne ihn nicht zum (Mit-)Täter machen. Schliesslich habe der buchhalterische Nachvollzug der beiden Geschäfte die Buchhaltung nicht verfälscht. Es sei nie Geld geflossen. Vielmehr seien einzig Positionen miteinander verrechnet worden. "Aus rein buchhalterischer Sicht" sei es zulässig gewesen, Vorgänge, die erst 1995 "beschlossen" worden seien, noch in die nicht abgeschlossene und revidierte Buchhaltung des Vorjahres "einfliessen zu lassen". Wenn das zeitliche Vorverlegen der Verrechnungen aus anderen Gründen unzulässig gewesen sei (z.B. wegen Gläubigerbenachteiligung), so sei dies durch die entsprechende Bestrafung des Beschwerdeführers bereits abgegolten. Die Verurteilung wegen mehrfacher Falschbeurkundung gemäss Art. 251 Ziff. 1 StGB verletze Bundesrecht.</w:t>
      </w:r>
    </w:p>
    <w:p>
      <w:r>
        <w:rPr>
          <w:b/>
        </w:rPr>
        <w:t>E. 1.1</w:t>
      </w:r>
    </w:p>
    <w:p>
      <w:r>
        <w:t>Der Beschwerdeführer wendet sich nur gegen die Annahme der objektiven Tatbestandselemente der Falschbeurkundung, nicht jedoch gegen jene des subjektiven Tatbestandes. Darauf ist nicht zurückzukommen.</w:t>
      </w:r>
    </w:p>
    <w:p>
      <w:r>
        <w:rPr>
          <w:b/>
        </w:rPr>
        <w:t>E. 1.2</w:t>
      </w:r>
    </w:p>
    <w:p>
      <w:r>
        <w:t>Der Beschwerdeführer hat die ihm vorgeworfenen Taten im Verlauf des Jahres 1995 begangen, also bevor das neue Vermögens- und Urkundenstrafrecht am 1. Januar 1995 in Kraft getreten ist. Die Anwendung der geltenden Strafnorm des Art. 251 Ziff. 1 StGB wird vom Beschwerdeführer nicht in Frage gestellt und ist hier daher nicht zu prüfen.</w:t>
      </w:r>
    </w:p>
    <w:p>
      <w:r>
        <w:rPr>
          <w:b/>
        </w:rPr>
        <w:t>E. 2.1</w:t>
      </w:r>
    </w:p>
    <w:p>
      <w:r>
        <w:t>Die Tatbestände des Urkundenstrafrechts schützen das Vertrauen, das im Rechtsverkehr einer Urkunde als einem Beweismittel entgegengebracht wird. Mittel zum Beweis kann nur sein, was generell geeignet ist, Beweis zu erbringen. Abgesehen von den Zeichen gelten als Urkunden nur Schriften, die bestimmt und geeignet sind, BGE 129 IV 130 S. 134 eine Tatsache von rechtlicher Bedeutung zu beweisen ( Art. 110 Ziff. 5 Abs. 1 StGB ). Eine Falschbeurkundung begeht sowohl nach der alten wie der neuen Fassung von Art. 251 Ziff. 1 StGB insbesondere, wer eine rechtlich erhebliche Tatsache unrichtig beurkundet oder beurkunden lässt, in der Absicht, jemanden am Vermögen oder an andern Rechten zu schädigen oder sich oder einem andern einen unrechtmässigen Vorteil zu verschaffen. Die Urkundenfälschung im eigentlichen Sinn erfasst das Herstellen einer unechten Urkunde, deren wirklicher Aussteller mit dem aus ihr ersichtlichen Autor nicht identisch ist. Demgegenüber betrifft die Falschbeurkundung die Errichtung einer echten aber unwahren Urkunde, bei der also der wirkliche und der in der Urkunde enthaltene Sachverhalt nicht übereinstimmen. Nach allgemeiner Auffassung ist die einfache schriftliche Lüge keine Falschbeurkundung.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(vgl. BGE 117 IV 35 )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gesetzlichen Vorschriften wie den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Die Grenze zwischen Falschbeurkundung und schriftlicher Lüge muss für jeden Einzelfall nach den konkreten Umständen gezogen werden. Das kann mitunter sehr schwierig sein, weil das Gesetz nicht eindeutig regelt, wann noch eine straflose schriftliche Lüge vorliegt (vgl. BGE 126 IV 65 E. 2a S. 68; BGE 125 IV 273 E. 3a/aa; BGE 125 IV 17 E. 2a/aa mit Hinweisen).</w:t>
      </w:r>
    </w:p>
    <w:p>
      <w:r>
        <w:rPr>
          <w:b/>
        </w:rPr>
        <w:t>E. 2.2</w:t>
      </w:r>
    </w:p>
    <w:p>
      <w:r>
        <w:t>Der Urkundencharakter eines Schriftstücks ist relativ. Es kann mit Bezug auf bestimmte Aspekte Urkundencharakter haben, hinsichtlich anderer Gesichtspunkte nicht. Nach der Gerichtspraxis BGE 129 IV 130 S. 135 kann sich unmittelbar aus dem Gesetz oder aus der Verkehrsübung bzw. dem Sinn oder der Art des Schriftstücks ergeben, ob dieses zum Beweis einer bestimmten Tatsache bestimmt und geeignet ist. Die Rechtsprechung verweist in diesem Zusammenhang insbesondere auf die allgemeinen Bilanzvorschriften gemäss Art. 958 OR . Nach ständiger Praxis sind die kaufmännische Buchführung und ihre Bestandteile (Belege, Bücher, Buchhaltungsauszüge über Einzelkonten, Bilanzen oder Erfolgsrechnungen) im Rahmen der Falschbeurkundung als Absichtsurkunden kraft Gesetzes ( Art. 957 OR ) bestimmt und geeignet, Tatsachen von rechtlich erheblicher Bedeutung zu beweisen. Für den Urkundencharakter spielt der mit der Buchführung verfolgte Zweck keine Rolle ( BGE 125 IV 17 E. 2a/aa S. 23 mit Hinweis; zuletzt BGE 126 IV 65 E. 2a S. 68; erstmals in BGE 79 IV 162 ). Nicht erforderlich ist die Genehmigung der Generalversammlung (vgl. BGE 120 IV 122 E. 5c S. 130 f.). Schliesslich kann der Buchhaltung Urkundencharakter zukommen, obschon eine gesetzliche Pflicht zur Buchführung fehlt. Bei einer freiwilligen Buchführung ist vorauszusetzen, dass die Buchführung eine kaufmännische ist. Das ist der Fall, wenn sie nach der Zielsetzung des Art. 957 OR geführt wird sowie lückenlose Belege und Bücher umfasst und so die Feststellung der Vermögenslage mit den Schuld- und Forderungsverhältnissen und der Betriebsergebnisse der Geschäftsjahre ermöglicht. Die in diesem Sinne zu verstehende kaufmännische Buchführung und ihre Bestandteile sind Urkunden gemäss Art. 110 Ziff. 5 StGB , losgelöst davon, ob das betreffende Unternehmen der gesetzlichen Buchführungspflicht untersteht oder nicht (vgl. etwa BGE 125 IV 17 E. 2b/aa S. 26 f. mit Hinweisen).</w:t>
      </w:r>
    </w:p>
    <w:p>
      <w:r>
        <w:rPr>
          <w:b/>
        </w:rPr>
        <w:t>E. 2.3</w:t>
      </w:r>
    </w:p>
    <w:p>
      <w:r>
        <w:t>Die Buchhaltung muss ein genaues und vollständiges Bild der tatsächlichen wirtschaftlichen Lage vermitteln. Dabei hat die Bilanz die Vermögensverhältnisse eines Unternehmens auf einen bestimmten Stichtag hin korrekt auszuweisen, d.h. an einem von 365 Tagen (vgl. etwa BGE 116 IV 52 E. 2 S. 55 f.). Dementsprechend liegt eine unwahre Urkunde vor, wenn nicht die am angegebenen Stichtag, sondern die zu einem anderen Zeitpunkt bestehenden wirtschaftlichen Verhältnisse ausgewiesen werden (ANDREAS DONATSCH, in: Basler Kommentar zum schweizerischen Steuerrecht, Bd. I/2b, Bundesgesetz über die direkte Bundessteuer [DBG], Basel usw. 2000, Art. 186 N. 29). Die datumsmässig unrichtige Erfassung eines Geschäftsvorgangs stellt nach der Rechtsprechung in der Regel eine Falschbeurkundung dar ( BGE 71 IV 132 E. 4 S. 137 f.; vgl. auch BGE 88 IV 28 E. 1c und BGE 102 IV 191 E. 1, die allerdings eine BGE 129 IV 130 S. 136 Urkundenfälschung im engeren Sinne annehmen). In diesen Fällen ist zusätzlich erforderlich, dass die falsche Buchung gerade das Bild, das die Buchführung zu vermitteln bestimmt ist, verfälscht. Dies ist ausnahmsweise zu verneinen, wenn beispielsweise durch vertragliche Vereinbarung gewisse Geschäfte noch in alter Rechnung erfasst werden sollen, und diese Transaktionen in der alten Periode valutiert werden. Bei einem solchen Vorgehen darf der Vertrag selbst aber nicht zurückdatiert werden (SCHWEIZERISCHE KAMMER DER WIRTSCHAFTSPRÜFER, STEUER- UND TREUHANDEXPERTEN [Hrsg.], Schweizer Handbuch der Wirtschaftsprüfung 1998, Bd. 1, Zürich 1998, 2.38422 lit. c mit Beispielen unzulässiger rückwirkender Valutierungen). Zulässige Vorgänge einer rückwirkenden Valutierung sind insbesondere der Kauf oder Verkauf von Wertschriften oder Beteiligungen in alter Rechnung oder ein Forderungsverzicht, wobei es sich aber um wirtschaftlich begründete Transaktionen handeln muss, was insbesondere bei Scheingeschäften nicht zutrifft (vgl. SCHWEIZERISCHE KAMMER DER WIRTSCHAFTSPRÜFER, STEUER- UND TREUHANDEXPERTEN [Hrsg.], a.a.O., ebenda).</w:t>
      </w:r>
    </w:p>
    <w:p>
      <w:r>
        <w:rPr>
          <w:b/>
        </w:rPr>
        <w:t>E. 3.1</w:t>
      </w:r>
    </w:p>
    <w:p>
      <w:r>
        <w:t>Die Einzelfirma D. war seit 1966 nicht mehr im Handelsregister eingetragen. Das Wirtschaftsstrafgericht, auf dessen Erwägungen die Vorinstanz grundsätzlich verweist, nimmt aber an, die Einzelfirma D. habe freiwillig eine kaufmännische Buchhaltung nach der Zielsetzung des Art. 957 OR geführt. Die vom Beschwerdeführer nicht beanstandete Feststellung bindet das Bundesgericht. Da Gegenteiliges nicht ersichtlich ist, kann darauf abgestellt werden. Im Unterschied zur Einzelfirma D. traf die D. AG von Gesetzes wegen die Pflicht, Bücher zu führen.</w:t>
      </w:r>
    </w:p>
    <w:p>
      <w:r>
        <w:rPr>
          <w:b/>
        </w:rPr>
        <w:t>E. 3.2</w:t>
      </w:r>
    </w:p>
    <w:p>
      <w:r>
        <w:t>Der Beschwerdeführer erstellte die Vereinbarung über die Forderungszession von Fr. 635'000.- im Juli 1995 und datierte sie beim Abschluss des Vertrags im Sommer des gleichen Jahres auf den 14. Januar 1994 zurück. Der Vertrag war damit inhaltlich unwahr. Anschliessend wurden die bereits dargelegten Buchungen vorgenommen (oben Sachverhalt A.b Abs. 2). In der Jahresbilanz der D. AG für 1994 mit Stichtag vom 31. Dezember 1994 ist das Darlehen auf Null saldiert. Bei der Rückdatierung handelte X. im Wissen, dass die inhaltlich unwahre Vereinbarung von der Buchhalterin A.C. als Buchungsbeleg der Buchhaltung der D. AG für das Jahr 1994 verwendet würde. Ebenso wusste er, dass die D. AG damals zahlungsunfähig war und mit der Forderungszession und ihrer Rückdatierung die Anfechtung des Vertrags im späteren BGE 129 IV 130 S. 137 Konkursverfahren der D. AG abgewendet werden sollte. Die Vereinbarung war damit sowohl objektiv als auch subjektiv dazu bestimmt und geeignet, Beweis für den falsch eingetragenen Zeitpunkt ihres Abschlusses zu erbringen. Als dazu bestimmter Bestandteil der Buchführung der D. AG kam ihr kraft Gesetzes ( Art. 957 OR ) eine besondere Garantie für die Wahrheit des Inhaltes zu. Da der Beschwerdeführer zusammen mit D. und der Buchhalterin mit der Rückdatierung keinen vertretbaren wirtschaftlichen Zweck, sondern rechtswidrige Ziele verfolgte, und die Transaktion deshalb auch nicht in der alten Periode valutiert wurde, hat der Beschwerdeführer nach den dargelegten Grundsätzen (oben E. 2.3) bereits mit der falschen Datierung Art. 251 Ziff. 1 Abs. 1 StGB erfüllt. Ob ihm zusätzlich einzelne daran anschliessende Handlungen der Buchhalterin im Sinne einer mittäterschaftlichen Falschbeurkundung zuzurechnen sind, braucht hier nicht weiter geprüft zu werden, da die Vorinstanz eine Deliktsmehrheit nur hinsichtlich der beiden Vorfälle (Verkauf der Aktien der E. AG und Forderungszession) angenommen hat. Für weitere Einzelheiten kann auf das Urteil der Vorinstanzen verwiesen werden ( Art. 36a Abs. 3 OG ).</w:t>
      </w:r>
    </w:p>
    <w:p>
      <w:r>
        <w:rPr>
          <w:b/>
        </w:rPr>
        <w:t>E. 3.3</w:t>
      </w:r>
    </w:p>
    <w:p>
      <w:r>
        <w:t>Das soeben Gesagte gilt im Wesentlichen auch für den zweiten Vorfall. Insoweit stellt die Vorinstanz fest, dass der Beschwerdeführer im Juli 1995 einen Kaufvertrag sowie eine Kaufrechtsvereinbarung zwischen D. und den Ehegatten C. aufsetzte. Beim Abschluss der Verträge im Sommer 1995 datierte er sie auf den 14. März 1994 zurück. Auch diese Rückdatierung ist in der Vereinbarung nicht als Valutadatum gekennzeichnet. Sodann steht fest, dass D. und der Beschwerdeführer damit bezweckten, den Konkurs von der D. AG und der Einzelfirma D. möglichst lange abzuwenden und die Bilanz nicht in einem "ungünstigen Zeitpunkt" deponieren zu müssen. Die Rückdatierung diente ferner dazu, eine mögliche spätere Anfechtung der Vereinbarungen im Konkurs zu verhindern. Es ging ihnen somit nicht darum, aus wirtschaftlichen Gründen ein Geschäft bzw. eine Veränderung von bilanzierten Werten in alter Rechnung zu erfassen und klar zu valutieren, sondern um ein Umgehungsgeschäft unter Verfälschung der Buchhaltung. Der Beschwerdeführer wusste, dass der von ihm rückdatierte Vertrag für die kaufmännische Buchhaltung der D. Einzelunternehmung bestimmt war und Bestandteil derselben bilden würde. Er verwendete später die unrichtige Buchhaltung für seinen Revisorenbericht; dies findet sich aber nicht in der Anklage und bildet deshalb offenbar auch nicht Grundlage der Verurteilung durch die Vorinstanzen. Der Vertrag war somit objektiv BGE 129 IV 130 S. 138 und subjektiv dazu bestimmt, Bestandteil der kaufmännischen Buchführung der D. Einzelunternehmung zu sein. Er war geeignet, zu beweisen, dass die Abtretung und die Verrechnungen bereits im Januar 1994 erfolgt waren. Ihm kam als Absichtsurkunde kraft der erhöhten Glaubwürdigkeit einer kaufmännischen Buchführung bereits mit seinem Abschluss und seiner Rückdatierung Urkundencharakter zu. Die fehlende gesetzliche Pflicht der D. Einzelfirma, Buch zu führen, vermag daran - wie schon dargelegt - nichts zu ändern. Damit sind auch die Einwände des Beschwerdeführers zur Frage der mittäterschaftlichen Tatbegehung unbegründet. Der Schuldspruch wegen Urkundenfälschung ist in diesem Punkt bundesrechtlich ebenfalls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