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413</w:t>
      </w:r>
    </w:p>
    <w:p>
      <w:r>
        <w:t>Bundesgericht (BGE), 2003-01-01, FR</w:t>
      </w:r>
    </w:p>
    <w:p>
      <w:r>
        <w:rPr>
          <w:b/>
        </w:rPr>
        <w:t xml:space="preserve">Quelle: </w:t>
      </w:r>
      <w:r>
        <w:t>https://mcp.opencaselaw.ch/entscheid/bge_BGE_129_II_413</w:t>
      </w:r>
    </w:p>
    <w:p>
      <w:r>
        <w:t>FR: ATF 129 II 413</w:t>
      </w:r>
    </w:p>
    <w:p>
      <w:r>
        <w:t>IT: DTF 129 II 413</w:t>
      </w:r>
    </w:p>
    <w:p>
      <w:pPr>
        <w:pStyle w:val="Heading2"/>
      </w:pPr>
      <w:r>
        <w:t>Regeste</w:t>
      </w:r>
    </w:p>
    <w:p>
      <w:r>
        <w:t>Regeste Art. 16a RPG; Art. 34 RPV; Bauten in der Rebbauzone. Lagerdepots für Wein in der Rebbauzone sind nicht zonenkonform, wenn die Reben in verschiedenen vom Produktionszentrum entfernten Regionen bewirtschaftet werden (E. 3).</w:t>
      </w:r>
    </w:p>
    <w:p>
      <w:r>
        <w:t>Regeste Art.16a LAT; art. 34 OAT; construction en zone viticole. Les locaux servant à l'entreposage du vin n'ont pas leur place en zone viticole lorsque les vignes sont exploitées dans des régions différentes, éloignées du centre de l'exploitation (consid. 3).</w:t>
      </w:r>
    </w:p>
    <w:p>
      <w:r>
        <w:t>Regesto Art. 16a LPT; art. 34 OPT; costruzione in zona viticola. Un deposito per il vino non è conforme alla zona viticola quando le viti sono coltivate in regioni diverse, distanti dal centro di produzione (consid. 3).</w:t>
      </w:r>
    </w:p>
    <w:p>
      <w:pPr>
        <w:pStyle w:val="Heading2"/>
      </w:pPr>
      <w:r>
        <w:t>Erwägungen</w:t>
      </w:r>
    </w:p>
    <w:p>
      <w:r>
        <w:rPr>
          <w:b/>
        </w:rPr>
        <w:t>E. 3</w:t>
      </w:r>
    </w:p>
    <w:p>
      <w:r>
        <w:t>Aux termes de l'art. 52 de la loi vaudoise sur l'aménagement du territoire et les constructions, les zones agricoles et viticoles sont destinées à l'exploitation agricole, horticole et viticole liée au sol ainsi qu'aux activités reconnues conformes à ces zones par le droit fédéral.</w:t>
      </w:r>
    </w:p>
    <w:p>
      <w:r>
        <w:rPr>
          <w:b/>
        </w:rPr>
        <w:t>E. 3.1</w:t>
      </w:r>
    </w:p>
    <w:p>
      <w:r>
        <w:t>Selon l'art. 16a al. 1, 1re phrase LAT, dans sa teneur au 1er septembre 2000 (et dont la cour cantonale a fait application en vertu de l' art. 52 al. 2 OAT [RS 700.1]),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L' art. 34 al. 1 OAT reprend cette définition en précisant que sont conformes à l'affectation de la zone les constructions qui servent à l'exploitation tributaire du sol ou au développement interne. Selon l' art. 34 al. 2 OAT , sont aussi conformes à l'affectation de la zone les constructions servant à la préparation, au stockage ou à la vente de produits agricoles ou horticoles (a) si ces derniers sont produits dans la région et que plus de la moitié d'entre eux proviennent de l'exploitation où se trouvent lesdites constructions ou d'exploitations appartenant à une communauté de production, (b) si la préparation, le stockage ou la vente ne revêt pas un caractère industriel et (c) si l'exploitation où se trouvent lesdites constructions conserve son caractère agricole ou horticole.</w:t>
      </w:r>
    </w:p>
    <w:p>
      <w:r>
        <w:rPr>
          <w:b/>
        </w:rPr>
        <w:t>E. 3.2</w:t>
      </w:r>
    </w:p>
    <w:p>
      <w:r>
        <w:t>La novelle du 20 mars 1998 admet plus largement la conformité à l'affectation de la zone agricole: elle est désormais reconnue non seulement pour les constructions et installations répondant à la définition de l'art. 16a al. 1, 1re phrase LAT, mais également, aux termes de l' art. 16a al. 2 LAT , pour celles qui servent au développement interne d'une exploitation agricole ou d'une exploitation pratiquant l'horticulture productrice, indépendamment des conditions restrictives de l' art. 24 LAT . Il y a "développement interne" lorsqu'un secteur de production non tributaire du sol - garde d'animaux de rente ( art. 36 OAT ), cultures maraîchères ou horticoles indépendantes BGE 129 II 413 S. 416 du sol ( art. 37 OAT ) - est adjoint à une exploitation tributaire de façon prépondérante du sol afin que la viabilité de cette exploitation soit assurée. Le fait qu'une activité agricole remplisse les conditions énoncées aux art. 16 et 16a LAT ne signifie pas encore qu'une autorisation de construire une nouvelle installation en application de l' art. 22 LAT doive nécessairement être délivrée.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 art. 34 al. 4 OAT ; ATF 125 II 278 consid. 3a p. 281).</w:t>
      </w:r>
    </w:p>
    <w:p>
      <w:r>
        <w:rPr>
          <w:b/>
        </w:rPr>
        <w:t>E. 3.3</w:t>
      </w:r>
    </w:p>
    <w:p>
      <w:r>
        <w:t>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lorsque la transformation du produit passe au premier plan ou lorsque l'exploitation prend un caractère industriel ou commercial, il n'y a pas place dans la zone agricole ( ATF 125 II 278 consid. 7 p. 285).</w:t>
      </w:r>
    </w:p>
    <w:p>
      <w:r>
        <w:rPr>
          <w:b/>
        </w:rPr>
        <w:t>E. 3.4</w:t>
      </w:r>
    </w:p>
    <w:p>
      <w:r>
        <w:t>La recourante soutient que la conformité à la zone viticole pourrait être admise sur la seule base de l' art. 34 al. 1 OAT , ce qui dispenserait de tenir compte du critère régional posé à l' art. 34 al. 2 OAT . Elle relève que la culture de la vigne est tributaire du sol, que les installations situées dans l'exploitation serviraient à son développement interne et à la transformation de denrées alimentaires ainsi qu'à l'exploitation de surfaces proches de leur état naturel ( art. 34 al. 1 let. a et b OAT ). La recourante perd de vue que les locaux souterrains, exclusivement destinés au dépôt ou au stockage du vin, ne servent pas directement à l'exploitation tributaire du sol. La première hypothèse de l' art. 34 al. 1 OAT n'est donc pas réalisée; quant au développement interne ( art. 16a al. 2 LAT ), il concerne des activités sans rapport direct avec la culture du sol mais nécessaires à la BGE 129 II 413 S. 417 subsistance de l'exploitation (voir les exemples de développement interne aux art. 36 et 37 OAT ), ce qui n'est pas le cas des activités en rapport avec le travail de la vigne. Par ailleurs, en l'absence d'une mesure de planification spéciale selon l' art. 16a al. 3 LAT , la recourante ne saurait se prévaloir de l' art. 34 al. 1 let. a ou b OAT . C'est dès lors avec raison que la cour cantonale a examiné la conformité des installations à l'affectation de la zone sur la base des critères fixés à l' art. 34 al. 2 OAT . Bien qu'elle n'y figure pas expressément, la notion de région est d'ailleurs inhérente à la définition de la conformité de la zone posée à l' art. 16a LAT .</w:t>
      </w:r>
    </w:p>
    <w:p>
      <w:r>
        <w:rPr>
          <w:b/>
        </w:rPr>
        <w:t>E. 3.5</w:t>
      </w:r>
    </w:p>
    <w:p>
      <w:r>
        <w:t>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Quand bien même la vinification et l'élevage constituent des activités de mise en valeur essentielles, qui confèrent au produit une importante valeur ajoutée et apparaissent, techniquement, indépendantes de la culture du sol, elles ne sauraient toutefois en être dissociées dans la mesure où le processus d'élaboration du vin peut être considéré comme un tout. ll faut toutefois pour cela que cette activité constitue réellement le prolongement de la culture viticole; cela exclut en particulier les exploitations dans lesquelles le caractère agricole passe au second rang, au profit d'une activité de caractère industriel ou commercial (art. 34 al. 2 let. b et c OAT). Le privilège de pouvoir presser, vinifier, élever, mettre en bouteille et stocker à l'intérieur de la zone agricole n'a plus de sens si la majeure partie de la récolte provient de régions disséminées et éloignées du centre de l'exploitation ( art. 34 al. 2 let. a OAT ). Dans ce cas, le caractère industriel prend le dessus.</w:t>
      </w:r>
    </w:p>
    <w:p>
      <w:r>
        <w:rPr>
          <w:b/>
        </w:rPr>
        <w:t>E. 3.6</w:t>
      </w:r>
    </w:p>
    <w:p>
      <w:r>
        <w:t>En l'occurrence, l'exploitation dispose de 26 ha de vignes réparties sur 53 parcelles, soit une capacité de 293'800 litres de vin dont 80% de vin blanc, en majorité du chasselas. Les vignes sont détenues par la société (6 ha à Grandvaux et Ollon), par la famille de l'exploitant (16 ha) ou louées à des tiers (5 ha). Sur une surface totale de 258'282 m2, 92'357 m2 se trouvent dans le district de Lavaux (22 parcelles à Grandvaux, Villette, Puidoux et Cully), 102'097 m2 dans le district d'Aigle (13 parcelles à Yvorne et Ollon), 35'288 m2 en Valais (8 parcelles à Ardon, Conthey et Sion) et 19'529 m2 dans le district de Grandson (9 parcelles à Bonvillars, Champagne, Concises et Onnens). Z., considéré comme le directeur de l'exploitation, s'occupe essentiellement de la vinification; le travail des parcelles est BGE 129 II 413 S. 418 confié à d'autres vignerons, que la recourante considère comme des salariés, par le biais de contrats "d'entreprise agricole": ceux-ci livrent la récolte et en reçoivent les deux tiers du prix; ils bénéficient des paiements directs alloués aux exploitants selon la législation fédérale sur l'agriculture, et il n'est pas payé de cotisations sociales. Z. ne travaille pas la vigne, mais donne les instructions aux vignerons quant à l'encépagement, au planning des cultures et aux traitements.</w:t>
      </w:r>
    </w:p>
    <w:p>
      <w:r>
        <w:rPr>
          <w:b/>
        </w:rPr>
        <w:t>E. 3.7</w:t>
      </w:r>
    </w:p>
    <w:p>
      <w:r>
        <w:t>Le Tribunal administratif a considéré à juste titre que la notion de région au sens de l' art. 34 al. 2 let. a OAT pouvait varier en fonction du type de produit. La région supposerait des caractéristiques géographiques, topographiques, politiques ou économiques communes. En matière viticole, la variété des cépages constituerait un critère pertinent. Il serait en tout cas exclu de recourir à des découpages aussi étendus que le Mittelland, la Suisse orientale ou centrale. La recourante critique la référence faite dans l'arrêt cantonal à l'art. 10 al. 1 let. a de l'ordonnance du 7 décembre 1998 sur la terminologie agricole et la reconnaissance des formes d'exploitation (OTerm; RS 910.91), qui fixe un rayon de 15 km entre les différentes parties de l'exploitation. La recourante conteste la pertinence de cette réglementation, et mentionne d'autres dispositions, notamment de la LDFR, qui permettent des exploitations plus vastes. La critique tombe à faux puisque la cour cantonale a renoncé aux critères de l'OTerm, pour se fonder en définitive sur le règlement du 19 juin 1985 sur les appellations d'origine des vins vaudois (RAOV), qui partage le vignoble vaudois en six régions "présentant une homogénéité d'encépagement et dont les vins présentent des caractères organoleptiques analogues" (art. 1 RAOV). Or, la recourante ne conteste pas la pertinence de ce critère, et n'en propose pas de meilleur. Le critère de l'appellation ne saurait certes être retenu de manière systématique. On ne peut exclure, en effet, qu'une exploitation située à la limite de plusieurs appellations d'origine différentes ou d'une étendue restreinte ne soit légitimée à produire, au même endroit, des vins d'appellations différentes. En l'espèce toutefois, l'application de ce critère permet d'aboutir à un résultat sans ambiguïté. L'exploitation est située à Grandvaux, au coeur du Lavaux, soit la région comprenant toutes les communes du district de Lausanne (situées à l'est de la ville), de Lavaux et de Vevey. Seuls 35% de la récolte traitée par l'exploitation proviendraient de cette région, le solde provenant du Chablais, de Bonvillars ou du Valais. La recourante fait grand cas des nouvelles tendances, notamment de l'élévation de la taille critique de l'entreprise et des nécessités de BGE 129 II 413 S. 419 diversifier les cépages. On peut se demander si, face à cette nouvelle tendance, le mode d'exploitation ne devrait pas lui aussi être adapté, si le maintien de l'exploitation au sein de la maison vigneronne traditionnelle est encore justifié, et s'il ne se justifierait pas au contraire de déplacer les activités ultérieures à la récolte en zone constructible, compte tenu notamment des nombreux transports qu'impose ce nouveau genre d'exploitation viticole. La question peut toutefois demeurer indécise.</w:t>
      </w:r>
    </w:p>
    <w:p>
      <w:r>
        <w:rPr>
          <w:b/>
        </w:rPr>
        <w:t>E. 3.8</w:t>
      </w:r>
    </w:p>
    <w:p>
      <w:r>
        <w:t>C'est par conséquent avec raison que la cour cantonale a nié la conformité des installations litigieuses à l'affectation de la zone, dans la mesure où près des deux tiers de la production ne proviennent pas de la région, au sens de l' art. 34 al. 2 let. a OAT . Cela dispense d'examiner s'il existe une véritable unité d'exploitation (ce que la cour cantonale a mis en doute compte tenu de la dispersion des parcelles et de l'intervention de vignerons-tâcherons, la recourante affirmant pour sa part qu'il y aurait "plusieurs unités de production" d'une même exploitation), et si les installations litigieuses sont proportionnées aux besoins de l'exploitation ( art. 34 al. 4 let. a OAT ), ce que la recourante, même avec le concours d'un expert, s'est trouvée en peine de démontrer.</w:t>
      </w:r>
    </w:p>
    <w:p>
      <w:r>
        <w:rPr>
          <w:b/>
        </w:rPr>
        <w:t>E. 3.9</w:t>
      </w:r>
    </w:p>
    <w:p>
      <w:r>
        <w:t>La recourante invoque aussi la loi cantonale du 12 février 1979 sur le plan de protection de Lavaux (LPPL), assimilable à un plan directeur partiel ( ATF 112 Ib 229 ), qui inclut expressément le bâtiment en zone viticole, ce qui confirmerait son caractère de maison vigneronne. Un tel plan ne saurait toutefois lier l'autorité chargée, au moment de l'autorisation de construire, d'apprécier la conformité d'un bâtiment à l'affectation de la zone dans laquelle il se trouve, au regard des règles contraignantes de la LAT. Comme le relève la cour cantonale (...), le bâtiment de la recourante a progressivement perdu son caractère au gré de ses transformations successives, de sorte que la référence à un plan directeur datant de 1979 n'a plus guère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