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409</w:t>
      </w:r>
    </w:p>
    <w:p>
      <w:r>
        <w:t>Bundesgericht (BGE), 2003-08-19, FR</w:t>
      </w:r>
    </w:p>
    <w:p>
      <w:r>
        <w:rPr>
          <w:b/>
        </w:rPr>
        <w:t xml:space="preserve">Quelle: </w:t>
      </w:r>
      <w:r>
        <w:t>https://mcp.opencaselaw.ch/entscheid/bge_BGE_129_II_409</w:t>
      </w:r>
    </w:p>
    <w:p>
      <w:r>
        <w:t>FR: ATF 129 II 409</w:t>
      </w:r>
    </w:p>
    <w:p>
      <w:r>
        <w:t>IT: DTF 129 II 409</w:t>
      </w:r>
    </w:p>
    <w:p>
      <w:pPr>
        <w:pStyle w:val="Heading2"/>
      </w:pPr>
      <w:r>
        <w:t>Regeste</w:t>
      </w:r>
    </w:p>
    <w:p>
      <w:r>
        <w:t>Regeste Art. 16 Abs. 3 OHG. Hilfe an die Opfer von Straftaten; Verwirkung des Entschädigungsanspruches. Die Verwirkung kann dem Opfer nicht entgegengehalten werden, wenn es die gesetzlich vorgesehenen Informationen erst nach dem Ablauf der Verwirkungsfrist erhielt und es nachher ohne weitere Verzögerungen ein Gesuch um Entschädigung oder Genugtuung gestellt hat. Das Opfer hat keinen Anspruch darauf, dass ihm eine ab Kenntnisnahme dieser Informationen laufende Jahresfrist wiederhergestellt wird.</w:t>
      </w:r>
    </w:p>
    <w:p>
      <w:r>
        <w:t>Regeste Art. 16 al. 3 LAVI. Aide aux victimes d'infractions; péremption du droit à l'indemnisation. La péremption n'est pas opposable à la victime lorsque celle-ci ne reçoit l'information prévue par la loi qu'après l'expiration du délai et qu'elle présente sa demande d'indemnisation ou de réparation morale sans retard supplémentaire. La victime n'a pas droit à la restitution d'un délai d'une année dès réception de cette information.</w:t>
      </w:r>
    </w:p>
    <w:p>
      <w:r>
        <w:t>Regesto Art. 16 cpv. 3 LAV. Aiuto alle vittime di reati; perenzione del diritto all'indennizzo. La perenzione non è opponibile alla vittima quand'essa abbia ricevuto l'informazione prevista dalla legge solo dopo la scadenza del termine e abbia presentato la domanda d'indennizzo o di riparazione morale senza ulteriori ritardi. La vittima non ha diritto alla restituzione del termine di un anno dalla comunicazione di questa informazione.</w:t>
      </w:r>
    </w:p>
    <w:p>
      <w:pPr>
        <w:pStyle w:val="Heading2"/>
      </w:pPr>
      <w:r>
        <w:t>Erwägungen</w:t>
      </w:r>
    </w:p>
    <w:p>
      <w:r>
        <w:rPr>
          <w:b/>
        </w:rPr>
        <w:t>E. 2</w:t>
      </w:r>
    </w:p>
    <w:p>
      <w:r>
        <w:t>Aux termes des art. 2 al. 1 et 11 al. 1 de la loi fédérale sur l'aide aux victimes d'infractions (LAVI; RS 312.5), la personne qui est victime d'une infraction pénale et subit, de ce fait, une atteinte directe à son intégrité corporelle, sexuelle ou psychique, peut demander une indemnisation ou une réparation morale dans le canton où l'infraction a été commise. L' art. 16 al. 3 LAVI exige que la victime introduise ses demandes dans un délai de deux ans à compter de la date de l'infraction; à défaut, ses prétentions sont périmées. Dans la présente affaire, la qualité de victime de la recourante, au sens de ces dispositions, n'est pas douteuse. Le litige porte sur l'application de l'art. 16 al. 3 précité, relatif au délai de péremption. Selon la jurisprudence, ce délai très bref, qui n'est susceptible d'aucune suspension ni prolongation, n'est opposable à une demande BGE 129 II 409 S. 411 d'indemnisation ou de réparation morale que si la victime était effectivement en possession des moyens nécessaires à l'exercice efficace de ses droits. Sur ce point, on attribue une importance décisive au devoir de la police de signaler à la victime, lors de sa première audition, l'existence des centres de consultation chargés, notamment, de fournir des informations sur l'aide aux victimes et de les assister dans leurs démarches juridiques ( art. 3 et 6 al. 1 LAVI ). Dans le système de la loi, cette obligation d'informer la victime compense la rigueur du délai. En principe, la péremption ne peut donc pas faire échec à une demande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dans l'affirmative, la péremption doit exceptionnellement être considérée comme non avenue ( ATF 123 II 241 ; arrêt 1A.217/1997 du 8 décembre 1997, publié in Plädoyer 1998 1 p. 64, consid. 5 p. 65). Une solution analogue, à l'issue d'un examen fondé sur les mêmes critères, doit être appliquée dans le cas où, sans que l'information légale n'ait été omise, les conséquences de l'infraction ne sont devenues reconnaissables par la victime qu'après l'expiration du délai ( ATF 126 II 348 ). Le Tribunal fédéral a aussi jugé que si la victime ne dispose pas à temps de tous les éléments nécessaires pour spécifier entièrement l'objet et les motifs de sa demande d'indemnisation, tels que, en particulier, le montant auquel elle prétend, elle doit néanmoins saisir l'autorité avant l'échéance de la péremption, et lui exposer les faits avec la précision que l'on peut de bonne foi attendre d'elle à ce moment ( ATF 126 II 93 consid. 2 et 3).</w:t>
      </w:r>
    </w:p>
    <w:p>
      <w:r>
        <w:rPr>
          <w:b/>
        </w:rPr>
        <w:t>E. 3</w:t>
      </w:r>
    </w:p>
    <w:p>
      <w:r>
        <w:t>Pour revendiquer le droit à un délai supplémentaire d'une année dès l'information reçue tardivement, la recourante se réfère surtout à diverses dispositions de droit fédéral relatives à la prescription ou à la péremption, dispositions prévoyant des délais d'une année dès la connaissance des faits propres à fonder la prétention concernée. Elle mentionne notamment les art. 60 al. 1 et 67 al. 1 CO, concernant la prescription des actions en dommages-intérêts ou pour cause d'enrichissement illégitime, ainsi que les art. 47 al. 2 LAVS et 48 al. 2 LAI concernant la réclamation de prestations arriérées d'assurances sociales. Elle soutient qu'à l'étude de la jurisprudence précitée, on ignore jusqu'à quand la victime peut agir utilement après BGE 129 II 409 S. 412 qu'elle a reçu l'information manquante; à son avis, il s'impose donc d'appliquer un régime analogue à celui desdites dispositions pour le délai de péremption prévu à l' art. 16 al. 3 LAVI , afin d'assurer la sécurité du droit dans ce domaine et de respecter l'intention du législateur tendant à assurer une aide effective aux victimes d'infractions. Dans son arrêt du 8 décembre 1997, déjà mentionné, le Tribunal fédéral a examiné si la victime, agissant avec la diligence que l'on pouvait raisonnablement attendre d'elle, aurait pu présenter sa demande plus tôt qu'elle ne l'avait fait (Plädoyer 1998 1 p. 66, consid. 5d). L'incertitude juridique dont la recourante prétend tirer argument a ainsi été résolue, en ce sens que la victime ne peut se prétendre de bonne foi, et échapper ainsi à la rigueur de l' art. 16 al. 3 LAVI , que si elle s'adresse à l'autorité sans retard supplémentaire après qu'elle a reçu l'information manquante. Par ailleurs, le régime des dispositions invoquées par la recourante est fondamentalement différent de celui consacré à l' art. 16 al. 3 LAVI . Si l'on veut rechercher des clauses de la législation fédérale aptes à une application par analogie, il faut plutôt se référer aux art. 256c al. 3, 260c al. 3 et 263 al. 3 CC concernant respectivement, en matière d'établissement de la filiation, les actions en désaveu, en contestation d'une reconnaissance et en constatation de la paternité. Il est prévu que "l'action peut être intentée après l'expiration du délai lorsque de justes motifs rendent le retard excusable". Cette règle n'accorde aucun délai supplémentaire, même de brève durée, à la libre disposition du demandeur; celui-ci doit au contraire agir avec toute la rapidité possible, selon les circonstances, dès que la cause du retard a pris fin (CYRIL HEGNAUER, Commentaire bernois, n. 59 ad art. 256c CC ). La solution déjà consacrée par la jurisprudence relative à l' art. 16 al. 3 LAVI , où cette disposition reçoit une interprétation conforme aux exigences de la protection constitutionnelle de la bonne foi, correspond exactement à ces modalités.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