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385</w:t>
      </w:r>
    </w:p>
    <w:p>
      <w:r>
        <w:t>Bundesgericht (BGE), 2003-04-25, DE</w:t>
      </w:r>
    </w:p>
    <w:p>
      <w:r>
        <w:rPr>
          <w:b/>
        </w:rPr>
        <w:t xml:space="preserve">Quelle: </w:t>
      </w:r>
      <w:r>
        <w:t>https://mcp.opencaselaw.ch/entscheid/bge_BGE_129_II_385</w:t>
      </w:r>
    </w:p>
    <w:p>
      <w:r>
        <w:t>FR: ATF 129 II 385</w:t>
      </w:r>
    </w:p>
    <w:p>
      <w:r>
        <w:t>IT: DTF 129 II 385</w:t>
      </w:r>
    </w:p>
    <w:p>
      <w:pPr>
        <w:pStyle w:val="Heading2"/>
      </w:pPr>
      <w:r>
        <w:t>Regeste</w:t>
      </w:r>
    </w:p>
    <w:p>
      <w:r>
        <w:t>Regeste Art. 6 des Bundesgesetzes über die Ein- und Ausfuhr von Erzeugnissen aus Landwirtschaftsprodukten (sog. "Schoggigesetz"); Art. 15 der Verordnung über die Ausfuhrbeiträge für Erzeugnisse aus Landwirtschaftsprodukten; Art. 30 SuG; Art. 12 VStrR. Rückerstattung von Ausfuhrbeiträgen; Verjährung. Die gestützt auf Art. 6 des Schoggigesetzes gewährten Ausfuhrbeiträge sind keine Subventionen im Sinne des Subventionsgesetzes, deren Rückforderung allenfalls durch Art. 30 Abs. 2 SuG ausgeschlossen ist (E. 3.3). Das unrechtmässige Erwirken eines Ausfuhrbeitrages ist keine Zollwiderhandlung (E. 3.4). Zu Unrecht bezogene Ausfuhrbeiträge können während 5 Jahren seit der Zahlung des jeweiligen Beitrages jederzeit und ohne weitere Voraussetzungen zurückgefordert werden (E. 3.5 und 4.1). Es handelt sich bei dem in Frage stehenden strafbaren Verhalten weder um ein Dauerdelikt, noch liegt eine verjährungsrechtliche Einheit vor (E. 4.2). Unterbrechung der Verjährung (E. 4.3). Soweit die (objektiv) strafbaren Handlungen, aus denen der Rückerstattungsanspruch hergeleitet wird, nicht verjährt sind, ist der zu Unrecht gewährte Beitrag samt Zins zurückzuzahlen (E. 4.4).</w:t>
      </w:r>
    </w:p>
    <w:p>
      <w:r>
        <w:t>Regeste Art. 6 de la loi fédérale sur l'importation et l'exportation de produits agricoles transformés (dite "loi Schoggi"); art. 15 de l'ordonnance réglant les contributions à l'exportation de produits agricoles transformés; art. 30 LSu; art. 12 DPA. Restitution de contributions; prescription. Les contributions octroyées sur la base de l'art. 6 de la loi fédérale sur l'importation et l'exportation de produits agricoles transformés ne sont pas des subventions au sens de la loi sur les subventions, dont la restitution serait cas échéant exclue par l'art. 30 al. 2 LSu (consid. 3.3). L'obtention frauduleuse d'une contribution n'est pas une contravention douanière (consid. 3.4). Le remboursement des contributions touchées indûment peut être exigé, en tout temps et sans autres conditions, pendant 5 ans à partir du versement de leur montant (consid. 3.5 et 4.1). A cet égard, l'acte punissable ne peut être considéré ni comme un délit continu, ni comme un acte formant une unité du point de vue de la prescription (consid. 4.2). Interruption de la prescription (consid. 4.3). Aussi longtemps que les actes (objectivement) punissables sur lesquels la demande de restitution est fondée ne sont pas prescrits, la contribution obtenue à tort doit être remboursée avec intérêt (consid. 4.4).</w:t>
      </w:r>
    </w:p>
    <w:p>
      <w:r>
        <w:t>Regesto Art. 6 della legge federale sull'importazione e l'esportazione dei prodotti agricoli trasformati; art. 15 dell'ordinanza concernente i contributi all'esportazione di prodotti agricoli trasformati; art. 30 LSu; art. 12 LDPA. Restituzione di contributi all'esportazione; prescrizione. I contributi all'esportazione accordati sulla base dell'art. 6 della legge federale sull'importazione e l'esportazione dei prodotti agricoli trasformati non sono dei sussidi ai sensi della legge sui sussidi, la cui restituzione è esclusa in virtù di quanto previsto dall'art. 30 cpv. 2 LSu (consid. 3.3). L'ottenimento fraudolento di un contributo all'esportazione non costituisce una contravvenzione doganale (consid. 3.4). I contributi all'esportazione accordati a torto possono essere chiesti in restituzione in ogni momento entro 5 anni dal loro versamento e senza ulteriori condizioni (consid. 3.5 e 4.1). Il comportamento penalmente rilevante in questione non può essere considerato né come un reato continuato, né come un atto costituente un tutt'uno dal punto di vista della prescrizione (consid. 4.2). Interruzione della prescrizione (consid. 4.3). Sintanto che gli atti (oggettivamente) punibili sui quali si fonda la domanda di restituzione non sono prescritti, il contributo percepito a torto dev'essere rimborsato con gli interessi (consid. 4.4).</w:t>
      </w:r>
    </w:p>
    <w:p>
      <w:pPr>
        <w:pStyle w:val="Heading2"/>
      </w:pPr>
      <w:r>
        <w:t>Erwägungen</w:t>
      </w:r>
    </w:p>
    <w:p>
      <w:r>
        <w:rPr>
          <w:b/>
        </w:rPr>
        <w:t>E. 3.1</w:t>
      </w:r>
    </w:p>
    <w:p>
      <w:r>
        <w:t>Gemäss Art. 6 Abs. 1 des Bundesgesetzes vom 13. Dezember 1974 über die Ein- und Ausfuhr von Erzeugnissen aus Landwirtschaftsprodukten (sog. "Schoggigesetz"; im Folgenden: Gesetz; SR 632.111.72) und Art. 15 der Verordnung vom 18. Oktober 1995 über die Ausfuhrbeiträge für Erzeugnisse aus Landwirtschaftsprodukten (im Folgenden: Verordnung; SR 632.111.723) sind Ausfuhrbeiträge zurückzuerstatten, wenn sich bei Prüfung des Antrages für Beiträge oder bei einer Betriebskontrolle zeigt, dass der Empfänger BGE 129 II 385 S. 388 sie zu Unrecht bezogen hat. Der Anspruch verjährt in fünf Jahren seit der Zahlung des Beitrages. Wird er aus einer strafbaren Handlung hergeleitet, gilt die Verjährungsfrist des Strafrechts, wenn diese länger ist (Art. 6 Abs. 2 des Gesetzes).</w:t>
      </w:r>
    </w:p>
    <w:p>
      <w:r>
        <w:rPr>
          <w:b/>
        </w:rPr>
        <w:t>E. 3.2</w:t>
      </w:r>
    </w:p>
    <w:p>
      <w:r>
        <w:t>Wer vorsätzlich oder fahrlässig einen Ausfuhrbeitrag im Sinne des Gesetzes unrechtmässig erwirkt, wird, sofern nicht die Strafbestimmung von Art. 14 VStrR (SR 313.0) zutrifft, mit Busse bis zum Zwanzigfachen des erwirkten Betrages bestraft; Verfolgung und Beurteilung richten sich nach den Bestimmungen über Zollwiderhandlungen (Art. 8 des Gesetzes; "Strafbestimmungen").</w:t>
      </w:r>
    </w:p>
    <w:p>
      <w:r>
        <w:rPr>
          <w:b/>
        </w:rPr>
        <w:t>E. 3.3.1</w:t>
      </w:r>
    </w:p>
    <w:p>
      <w:r>
        <w:t>Die Zollkreisdirektion ist zum Schluss gekommen, die Beschwerdeführerin habe zu Unrecht Ausfuhrbeiträge erwirkt und damit in objektiver Sicht den Tatbestand einer Widerhandlung im Sinne des Zollgesetzes (ZG; SR 631.0) erfüllt. Sie hat indessen nicht näher ausgeführt, welche Zollwiderhandlung sie als erfüllt betrachte. Schliesslich verfügte sie die Rückerstattung gemäss Art. 6 Abs. 1 des Gesetzes und Art. 15 der Verordnung sowie in Anwendung von Art. 12 VStrR . Die Oberzolldirektion hat sich hingegen nicht nur auf diese Bestimmungen gestützt, sondern im angefochtenen Entscheid zusätzlich ausgeführt, bei den Ausfuhrbeiträgen handle es sich um Subventionen im Sinne des Bundesgesetzes vom 5. Oktober 1990 über Finanzhilfen und Abgeltungen (Subventionsgesetz, SuG; SR 616.1). Die Rückforderung der Ausfuhrbeiträge erfolge daher auf Grund der Art. 6 Abs. 1 des Gesetzes, Art. 30 SuG und Art. 12 Abs. 1 VStrR . Sie hat dabei insbesondere geprüft, ob die durch die gesetzliche Regelung gebotene Rückforderung allenfalls durch Art. 30 Abs. 2 SuG ausgeschlossen sei. Die Beschwerdeführerin rügt denn auch zur Hauptsache, der angefochtene Entscheid verstosse gegen Art. 30 Abs. 2 SuG .</w:t>
      </w:r>
    </w:p>
    <w:p>
      <w:r>
        <w:rPr>
          <w:b/>
        </w:rPr>
        <w:t>E. 3.3.2</w:t>
      </w:r>
    </w:p>
    <w:p>
      <w:r>
        <w:t>BGE 129 II 385 S. 389 Nach Art. 30 Abs. 1 SuG widerruft die zuständige Behörde eine Finanzhilfe- oder Abgeltungsverfügung, wenn sie die Leistung in Verletzung von Rechtsvorschriften oder auf Grund eines unrichtigen oder unvollständigen Sachverhaltes zu Unrecht gewährt hat. Gemäss Art. 30 Abs. 2 SuG verzichtet sie auf den Widerruf, wenn a) der Empfänger auf Grund der Verfügung Massnahmen getroffen hat, die nicht ohne zumutbare finanzielle Einbusse rückgängig gemacht werden können; b) die Rechtsverletzung für ihn nicht leicht erkennbar war; c) eine allfällig unrichtige oder unvollständige Feststellung des Sachverhaltes nicht auf schuldhaftes Handeln des Empfängers zurückzuführen ist. Mit dem Widerruf fordert die Behörde die bereits ausgerichteten Leistungen zurück. Hat der Empfänger schuldhaft gehandelt, so erhebt sie zudem einen Zins von jährlich 5% seit der Auszahlung (Abs. 3). Vorbehalten bleiben Rückforderungen nach Art. 12 VStrR (Abs. 4).</w:t>
      </w:r>
    </w:p>
    <w:p>
      <w:r>
        <w:rPr>
          <w:b/>
        </w:rPr>
        <w:t>E. 3.3.3</w:t>
      </w:r>
    </w:p>
    <w:p>
      <w:r>
        <w:t>Nach Auffassung der Vorinstanz ist Art. 30 SuG gestützt auf Art. 2 Abs. 2 SuG ergänzend zu den Bestimmungen von Art. 6 des Gesetzes anwendbar. Dies trifft jedoch nicht zu. Die allgemeinen Bestimmungen des Subventionsgesetzes (Kapitel 3) regeln zwar wichtige Rechtsfragen wie die Rückforderung, die Verjährung von Forderungen und die Zuwiderhandlungen für den gesamten Finanzhilfe- und Abgeltungsbereich einheitlich (Botschaft des Bundesrates zu einem Bundesgesetz über Finanzhilfen und Abgeltungen vom 15. Dezember 1986, BBl 1987 I 370). Die in Frage stehenden Ausfuhrbeiträge sind aber nach den Ausführungen in der Botschaft keine Finanzhilfen im Sinne des Subventionsgesetzes, was damit begründet wird, dass sie keine Vergünstigung herbeiführen, sondern den der schweizerischen Nahrungsmittelindustrie durch die Agrargesetzgebung verursachten Preisnachteil beim Rohstoffbezug gegenüber ihrer ausländischen Konkurrenz ausgleichen (Botschaft S. 382). Die Äusserungen in der Botschaft zur Rechtsnatur der Ausfuhrbeiträge vermögen nicht ohne weiteres zu überzeugen. Dass der Bundesgesetzgeber mit diesen Beiträgen die durch die Agrargesetzgebung verursachten Nachteile ausgleichen will, ist vorab eine Frage der Motivation und schlösse eine Einstufung dieser Beiträge als Finanzhilfen im Sinne von Art. 3 Abs. 1 SuG nicht aus. Der Bundesgesetzgeber gewährt diese Beiträge, weil er den Export von landwirtschaftlichen Produkten fördern will (vgl. RENÉ RHINOW/GERHARD SCHMID/GIOVANNI BIAGGINI, Öffentliches Wirtschaftsrecht, Basel 1998, S. 595). Aufgrund der klaren Ausführungen in der Botschaft zum Subventionsgesetz besteht indessen für das Bundesgericht kein Anlass, in diesem Punkt eine abweichende Auffassung zu vertreten. Dafür spricht auch der Umstand, dass das Gesetz nicht im Katalog jener Erlasse figuriert, welche aufgrund des Subventionsgesetzes geändert worden sind. Damit hat sich der Gesetzgeber der in der Botschaft vertretenen Auffassung angeschlossen. Auch das Verfahren zur Gewährung der Ausfuhrbeiträge ist atypisch ausgestaltet. BGE 129 II 385 S. 390 Dass es sich auch nicht um Abgeltungen handelt, liegt auf der Hand. Damit ist aber das Subventionsgesetz und insbesondere dessen Artikel 30 im vorliegenden Fall nicht anwendbar. Daran ändert nichts, dass das Bundesgericht diesen Ausfuhrbeiträgen im Bereich der Mehrwertsteuer Subventionscharakter zuerkannt hat, weil die zur Verarbeitung bezogenen Gegenstände im Umfang der Verbilligung nicht für eine steuerbare Lieferung verwendet werden, was zur Kürzung des Vorsteuerabzuges führt (Urteil 2A.353/2001 vom 11. Februar 2002, E. 1.3 und 2 zu Art. 26 Abs. 6 lit. b sowie Art. 30 Abs. 6 MWSTV ). Der Subventionsbegriff nach Mehrwertsteuerrecht deckt sich insoweit nicht mit demjenigen nach Subventionsgesetz; er ist weiter gefasst.</w:t>
      </w:r>
    </w:p>
    <w:p>
      <w:r>
        <w:rPr>
          <w:b/>
        </w:rPr>
        <w:t>E. 3.3.4</w:t>
      </w:r>
    </w:p>
    <w:p>
      <w:r>
        <w:t>Die Rückforderung der Ausfuhrbeiträge hat demnach im vorliegenden Fall ausschliesslich gestützt auf Art. 6 des Gesetzes und Art. 12 VStrR zu erfolgen. Dies entspricht auch dem Subventionsgesetz, welches in Art. 30 Abs. 4 ausdrücklich Rückforderungen nach Art. 12 VStrR vorbehält. Dass die zuletzt genannte Bestimmung hier anwendbar ist, wird von der Beschwerdeführerin zu Recht nicht bestritten, wird der Rückforderungsanspruch doch aus einer (objektiv) strafbaren Handlung hergeleitet.</w:t>
      </w:r>
    </w:p>
    <w:p>
      <w:r>
        <w:rPr>
          <w:b/>
        </w:rPr>
        <w:t>E. 3.4</w:t>
      </w:r>
    </w:p>
    <w:p>
      <w:r>
        <w:t>Weder aus der Verfügung der Zollkreisdirektion noch aus der angefochtenen Verfügung geht hervor, welcher Straftatbestand der Beschwerdeführerin vorgeworfen wird. Die Zollkreisdirektion hat dazu lediglich festgestellt, die Handlungsweise der Beschwerdeführerin erfülle in objektiver Hinsicht den Tatbestand einer Widerhandlung im Sinne des Zollgesetzes, womit gemäss Art. 87 ZG für die Strafverfolgung das Verwaltungsstrafrecht massgebend und die Zollverwaltung verfolgende und urteilende Behörde sei.</w:t>
      </w:r>
    </w:p>
    <w:p>
      <w:r>
        <w:rPr>
          <w:b/>
        </w:rPr>
        <w:t>E. 3.4.1</w:t>
      </w:r>
    </w:p>
    <w:p>
      <w:r>
        <w:t>Das trifft indessen nicht zu. Beim unrechtmässigen Erwirken eines Ausfuhrbeitrages handelt es sich nicht um eine Zollwiderhandlung (vgl. Art. 73-79 ZG ). Vielmehr stellt Art. 8 des Gesetzes das unrechtmässige Erwirken eines Ausfuhrbeitrages unter Strafe. Diese Bestimmung wurde eigens geschaffen, um Tatbestände strafrechtlich zu erfassen, die von Art. 14 VStrR betreffend den Leistungs- und Abgabebetrug nicht gedeckt sind. Zwar sind für die Verfolgung und Beurteilung die bei Zollwiderhandlungen geltenden Vorschriften auch für den Fall anwendbar, dass unrechtmässig Ausfuhrbeiträge erwirkt werden (Art. 8 Abs. 2 des Gesetzes). Damit gilt aber bei unrechtmässig erwirkten Ausfuhrbeiträgen lediglich dasselbe Strafverfahren wie bei Zollwiderhandlungen (Botschaft des Bundesrates zu einem Bundesgesetz über eine Ein- und Ausfuhrregelung BGE 129 II 385 S. 391 für landwirtschaftliche Verarbeitungserzeugnisse vom 9. Juli 1974, BBl 1974 II 297).</w:t>
      </w:r>
    </w:p>
    <w:p>
      <w:r>
        <w:rPr>
          <w:b/>
        </w:rPr>
        <w:t>E. 3.4.2</w:t>
      </w:r>
    </w:p>
    <w:p>
      <w:r>
        <w:t>Der Beschwerdeführerin wird zu Recht kein arglistiges Verhalten vorgeworfen, womit die Anwendung von Art. 14 VStrR ausser Betracht fällt. Es bleibt somit dabei, dass sie durch ihr Verhalten in objektiver Hinsicht eine Widerhandlung im Sinne von Art. 8 Abs. 1 des Gesetzes begangen hat. Sie bestreitet dies auch nicht.</w:t>
      </w:r>
    </w:p>
    <w:p>
      <w:r>
        <w:rPr>
          <w:b/>
        </w:rPr>
        <w:t>E. 3.4.3</w:t>
      </w:r>
    </w:p>
    <w:p>
      <w:r>
        <w:t>Eine Verwaltungsstrafuntersuchung wurde offensichtlich nicht eröffnet. Dies ist indessen ohne Bedeutung, da ein Verschulden und erst recht eine Strafverfolgung nicht Voraussetzungen der Rückerstattungspflicht im Sinne von Art. 12 VStrR sind. Es genügt, dass der durch die Gewährung des Beitrages entstandene unrechtmässige Vorteil seinen Grund in einer Widerhandlung im objektiven Sinn gegen die Verwaltungsgesetzgebung des Bundes hat ( BGE 106 Ib 218 E. 2c S. 221; Urteil 2A.457/2000 vom 7. Februar 2001, E. 2, publ. in: ASA 70 S. 330).</w:t>
      </w:r>
    </w:p>
    <w:p>
      <w:r>
        <w:rPr>
          <w:b/>
        </w:rPr>
        <w:t>E. 3.5</w:t>
      </w:r>
    </w:p>
    <w:p>
      <w:r>
        <w:t>Dass ihr die hier im Streit liegenden Ausfuhrbeiträge zu Unrecht ausgerichtet wurden, bestreitet die Beschwerdeführerin nicht mehr. Sie vertritt indessen die Auffassung, sie müsse diese nicht zurückerstatten. Zu Unrecht bezogene Ausfuhrbeiträge können gemäss Art. 6 des Gesetzes und Art. 12 VStrR während 5 Jahren seit der Zahlung des jeweiligen Beitrages jederzeit und ohne weitere Voraussetzungen zurückgefordert werden. Insbesondere können der Rückforderung die Ausschlussgründe von Art. 30 Abs. 2 SuG , auf die sich die Beschwerdeführerin zur Hauptsache beruft, nicht entgegengehalten werden. Weitere Ausführungen zu Art. 30 SuG erübrigen sich daher.</w:t>
      </w:r>
    </w:p>
    <w:p>
      <w:r>
        <w:rPr>
          <w:b/>
        </w:rPr>
        <w:t>E. 3.6</w:t>
      </w:r>
    </w:p>
    <w:p>
      <w:r>
        <w:t>Die Beschwerdeführerin macht schliesslich geltend, sie habe sich an die Vorgaben, Rundschreiben und Informationen der Zollbehörden und der Treuhandstelle der schweizerischen Lebensmittelimporteure gehalten. Zudem habe die Oberzolldirektion ihre neuen Abrechnungen ab Januar 1996 nicht beanstandet. Soweit sich die Beschwerdeführerin damit sinngemäss auf ihren Anspruch, von den staatlichen Organen nach Treu und Glauben behandelt zu werden ( Art. 9 BV ), zu berufen scheint, übersieht sie, dass die Ausfuhrbeiträge - analog zu dem für die Verzollung geltenden Selbstveranlagungsprinzip - allein gestützt auf ihre schriftlichen Gesuche hin ausgerichtet wurden. Sie hat für die Richtigkeit der darin gemachten Angaben einzustehen und kann nichts zu ihren Gunsten daraus ableiten, dass die Zollbehörden die unrichtigen Deklarationen nicht früher bemerkt haben (vgl. zur Zolldeklaration BGE 129 II 385 S. 392 Urteil 2A.457/2000 vom 7. Februar 2001, E. 2c, publ. in: ASA 70 S. 330).</w:t>
      </w:r>
    </w:p>
    <w:p>
      <w:r>
        <w:rPr>
          <w:b/>
        </w:rPr>
        <w:t>E. 4.1</w:t>
      </w:r>
    </w:p>
    <w:p>
      <w:r>
        <w:t>Widerhandlungen im Sinne von Art. 8 des Gesetzes sind mit Busse bedroht und somit Übertretungen ( Art. 101 StGB ). Verfolgung und Beurteilung richten sich - wie bereits erwähnt - nach den Bestimmungen über Zollwiderhandlungen (Art. 8 Abs. 2 des Gesetzes). Auf diese sind die Bestimmungen der Art. 2 bis 18 VStrR anwendbar ( Art. 80 ZG ). Dies hat zur Folge, dass die Strafverfolgung für die hier in Frage stehenden Delikte innert zwei Jahren verjährt ( Art. 11 Abs. 1 VStrR ). Denn es geht im vorliegenden Fall nicht um das unrechtmässige Erlangen einer Rückerstattung von Abgaben im Sinne von Art. 11 Abs. 2 VStrR , für welches die Verjährungsfrist fünf Jahre beträgt. Das Verwaltungsstrafrecht unterscheidet klar zwischen der unrechtmässigen Rückerstattung von Abgaben ( Art. 12 Abs. 1 lit. a VStrR ) und der unrechtmässigen Gewährung von Vergütungen und Beiträgen ( Art. 12 Abs. 1 lit. b VStrR ). Hier geht es um einen Beitrag. Die Verjährungsfrist des Strafrechts ist also nicht länger als diejenige des Gesetzes, sondern kürzer. Der Rückforderungsanspruch verjährt damit gemäss Art. 6 des Gesetzes in fünf Jahren seit der Zahlung des Beitrages (Abs. 2; vgl. vorstehend E. 3.1). Die Verjährungsfrist wird durch jede Einforderungshandlung unterbrochen (Abs. 3; vgl. nachstehend E. 4.3).</w:t>
      </w:r>
    </w:p>
    <w:p>
      <w:r>
        <w:rPr>
          <w:b/>
        </w:rPr>
        <w:t>E. 4.2</w:t>
      </w:r>
    </w:p>
    <w:p>
      <w:r>
        <w:t>Die Vorinstanz ist davon ausgegangen, das der Beschwerdeführerin vorzuwerfende (objektiv) strafbare Verhalten sei eine dauernde Handlung, da die Ausfuhrbeiträge seit Anfang 1996 regelmässig geltend gemacht worden seien. Dieses andauernde strafbare Verhalten habe erst mit der letztmaligen Geltendmachung der Ausfuhrbeiträge am 15. August 2001 geendet. Die Verjährungsfrist habe damit erst zu jenem Zeitpunkt zu laufen begonnen, womit keiner der von der Zollkreisdirektion zurückgeforderten Beträge verjährt sei.</w:t>
      </w:r>
    </w:p>
    <w:p>
      <w:r>
        <w:rPr>
          <w:b/>
        </w:rPr>
        <w:t>E. 4.2.1</w:t>
      </w:r>
    </w:p>
    <w:p>
      <w:r>
        <w:t>Die Vorinstanz legt der Beschwerdeführerin objektiv ein eigentliches Dauerdelikt im Sinne von Art. 71 Abs. 3 StGB zur Last. Art. 8 Abs. 1 des Gesetzes ist indessen schon auf Grund seines klaren Wortlautes ("Wer ... einen Ausfuhrbeitrag ... erwirkt, ...") kein Dauerdelikt, sondern ein schlichtes Tätigkeitsdelikt. Denn bei einem Dauerdelikt führt der Täter einen rechtswidrigen Zustand nicht nur herbei, sondern er hält ihn auch aufrecht; erst nach seiner Beendigung beginnt daher die Verfolgungsverjährung (STEFAN TRECHSEL/PETER NOLL, Schweizerisches Strafrecht, Allg. Teil I, 5. Aufl., Zürich 1998, S. 77). Die Begründung des rechtswidrigen Zustandes bildet BGE 129 II 385 S. 393 im vorliegenden Fall keine Einheit mit weiteren Handlungen, die zu seiner Aufrechterhaltung vorgenommen werden, und der Straftatbestand umfasst weder ausdrücklich noch sinngemäss ein auf die Perpetuierung des deliktischen Erfolges gerichtetes Verhalten (vgl. BGE 84 IV 17 E. 2; Urteil 1P.223/1988 vom 19. April 1989, E. 2c).</w:t>
      </w:r>
    </w:p>
    <w:p>
      <w:r>
        <w:rPr>
          <w:b/>
        </w:rPr>
        <w:t>E. 4.2.2</w:t>
      </w:r>
    </w:p>
    <w:p>
      <w:r>
        <w:t>Es bleibt zu prüfen, ob die verschiedenen Exporte zu einer rechtlichen Einheit zusammenzufassen sind, so dass die Verjährung erst mit der letzten Handlung zu laufen begann ( Art. 71 Abs. 2 StGB ). Das Bundesgericht hat für die Verjährung angenommen, verschiedene strafbare Handlungen bildeten gemäss Art. 71 Abs. 2 StGB dann eine Einheit (bei der die Verjährung für sämtliche Teilhandlungen erst mit der letzten Tat zu laufen beginnt), wenn sie gleichartig und gegen dasselbe Rechtsgut gerichtet sind und - ohne dass bereits ein Dauerdelikt im Sinne von Art. 71 Abs. 3 StGB vorliegt - ein andauerndes pflichtwidriges Verhalten bilden, das von dem in Frage stehenden gesetzlichen Straftatbestand ausdrücklich oder sinngemäss mitumfasst wird ( BGE 126 IV 141 E. 1a). Unter welchen Voraussetzungen dies der Fall ist, kann nicht abschliessend in einer abstrakten Formel umschrieben werden. Für die Zolldelikte hat das Bundesgericht erkannt, die wiederholte Widerhandlung gegen das Zollgesetz (bzw. den Warenumsatzsteuerbeschluss) genüge nicht für die Annahme einer verjährungsrechtlichen Einheit gemäss Art. 71 Abs. 2 StGB ( BGE 119 IV 73 E. 2b und 2c/bb S. 78 f.). In jenem Entscheid erachtete das Bundesgericht dennoch die Zusammenfassung der verschiedenen strafbaren Handlungen zu einer verjährungsrechtlichen Einheit als gerechtfertigt, weil der Täter im Sinne des besonderen Qualifikationsgrundes der Gewohnheitsmässigkeit von Art. 82 Ziff. 2 ZG gehandelt habe. In einem das Alkoholgesetz (AlkG; SR 680) betreffenden Fall (Hinterziehung von Zollabgaben durch wiederholte unzutreffende Deklarierung von Spirituosen als Zollfreiwaren; Art. 54 Abs. 1 AlkG ) entschied das Bundesgericht ebenfalls, die zu beurteilenden Handlungen könnten nicht als verjährungsrechtliche Einheit betrachtet werden. Zwar sei mit der Einfuhr jeder Flasche Brandy die Monopolgebühr hinterzogen und damit zumindest objektiv gegen die Strafbestimmung in Art. 54 Abs. 1 AlkG verstossen worden; die Auftraggeber seien auch zur Nachzahlung der hinterzogenen Abgabe verpflichtet geblieben ( Art. 12 Abs. 1 VStrR ); indessen kenne Art. 54 Abs. 1 AlkG keinen dem Zollgesetz ( Art. 82 Ziff. 2 ZG ) analogen Qualifikationsgrund der gewerbsmässigen oder gewohnheitsmässigen Verübung des Delikts (Urteil 2A.34/1993 vom 12. Oktober 1994, E. 4c). Dazu ist zu BGE 129 II 385 S. 394 ergänzen, dass der Gesetzgeber dies mit dem am 1. Februar 1997 in Kraft getretenen Art. 54 Abs. 1bis AlkG , der nun ausdrücklich einen solchen Qualifikationsgrund enthält, inzwischen nachgeholt hat.</w:t>
      </w:r>
    </w:p>
    <w:p>
      <w:r>
        <w:rPr>
          <w:b/>
        </w:rPr>
        <w:t>E. 4.2.3</w:t>
      </w:r>
    </w:p>
    <w:p>
      <w:r>
        <w:t>Im Lichte dieser Rechtsprechung können die der Beschwerdeführerin vorgeworfenen wiederholten strafbaren Handlungen nicht als verjährungsrechtliche Einheit betrachtet werden.</w:t>
      </w:r>
    </w:p>
    <w:p>
      <w:r>
        <w:rPr>
          <w:b/>
        </w:rPr>
        <w:t>E. 4.3</w:t>
      </w:r>
    </w:p>
    <w:p>
      <w:r>
        <w:t>Gemäss Art. 6 Abs. 3 des Gesetzes wird die Verjährungsfrist durch jede Einforderungshandlung unterbrochen.</w:t>
      </w:r>
    </w:p>
    <w:p>
      <w:r>
        <w:rPr>
          <w:b/>
        </w:rPr>
        <w:t>E. 4.3.1</w:t>
      </w:r>
    </w:p>
    <w:p>
      <w:r>
        <w:t>Die Vorinstanz ist davon ausgegangen, dass als erste Einforderungshandlung die Betriebskontrolle vom 26. Juli 2001 zu betrachten sei, anlässlich welcher die Verantwortlichen der Beschwerdeführerin vom Betriebsprüferteam der Zollkreisdirektion über die in Aussicht stehende Rückforderung in Kenntnis gesetzt worden seien.</w:t>
      </w:r>
    </w:p>
    <w:p>
      <w:r>
        <w:rPr>
          <w:b/>
        </w:rPr>
        <w:t>E. 4.3.2</w:t>
      </w:r>
    </w:p>
    <w:p>
      <w:r>
        <w:t>Die Beschwerdeführerin hält dem entgegen, bei der Betriebskontrolle am 26. Juli 2001 sei es nicht um die Rückforderung gegangen, sondern um das Produkt an sich. Auch im Schreiben des Zollinspektorates vom 4. September 2001 sei die Rückforderung der Ausfuhrbeiträge mit keinem Wort erwähnt. Einforderungshandlung sei erst die Verfügung der Zollkreisdirektion vom 4. Juni 2002.</w:t>
      </w:r>
    </w:p>
    <w:p>
      <w:r>
        <w:rPr>
          <w:b/>
        </w:rPr>
        <w:t>E. 4.3.3</w:t>
      </w:r>
    </w:p>
    <w:p>
      <w:r>
        <w:t>Laut dem Bericht der Betriebsprüfer über die Betriebskontrolle fand die Betriebskontrolle am "26.07.2001 und 06.12.2001" statt. Dabei wurde der 26. Juli 2001 als Kontrolltag bezeichnet (Ziff. B.10). Den Beteiligten sei anlässlich der Schlussbesprechung mitgeteilt worden, dass ein Nachbezug von ca. 1,5 Mio. Franken eingeleitet werde. Wann diese Schlussbesprechung stattgefunden hat, ergibt sich nicht aus dem Bericht. Es kommt hinzu, dass der Bericht - ein Protokoll wurde nicht erstellt (Ziff. G.36) - von den seitens der Beschwerdeführerin an der Kontrolle Mitwirkenden nicht unterzeichnet wurde. Anlässlich der Betriebskontrolle vom 26. Juli 2001 wurde indessen ein Muster der in Frage stehenden Rahmpulververmischung gezogen, weil der Verdacht bestand, es könnte sich dabei um die importierte Grundstoffmischung handeln (Bericht Ziff. F.34). Dies wurde im Schreiben des Zollinspektorates vom 4. September 2001 an die Beschwerdeführerin bestätigt. Darin wurde ausgeführt, auf Grund der Analyse könnten die Ausfuhrbeiträge für dieses Produkt nicht geltend gemacht werden. Gleichzeitig wurde die Beschwerdeführerin aufgefordert, alle Produkte aufzulisten, in welchen diese Mischung verwendet worden war; die exportierten Mengen seien pro Monat und fünf Jahre zurück anzugeben; auch die Importe der Rahmpulververmischung der letzten fünf Jahre seien bekanntzugeben. BGE 129 II 385 S. 395 Auch wenn erst die Analyse des bei der Betriebskontrolle vom 26. Juli 2001 gezogenen Musters den Verdacht der falschen Deklaration bestätigt hat, bestand doch bereits bei der Kontrolle die Vermutung, es handle sich um die importierte Grundstoffmischung mit der Tarifnummer 1901.9033. Unter diesen Umständen ist mit der Vorinstanz davon auszugehen, dass die Betriebskontrolle mit Entnahme eines Warenmusters als erste Untersuchungshandlung im Zusammenhang mit dem Verdacht des unrechtmässigen Erwirkens von Ausfuhrbeiträgen zu betrachten ist. Da diese Untersuchungshandlung allein mit Blick auf die Rückerstattung der Beiträge vorgenommen wurde, liegt darin gleichzeitig eine erste Einforderungshandlung im Sinne von Art. 6 Abs. 3 des Gesetzes.</w:t>
      </w:r>
    </w:p>
    <w:p>
      <w:r>
        <w:rPr>
          <w:b/>
        </w:rPr>
        <w:t>E. 4.3.4</w:t>
      </w:r>
    </w:p>
    <w:p>
      <w:r>
        <w:t>Es kann daher festgestellt werden, dass der Anspruch auf Rückerstattung der vor dem 26. Juli 1996 der Beschwerdeführerin gewährten Ausfuhrbeiträge verjährt ist. Insoweit ist die Beschwerde teilweise gutzuheissen.</w:t>
      </w:r>
    </w:p>
    <w:p>
      <w:r>
        <w:rPr>
          <w:b/>
        </w:rPr>
        <w:t>E. 4.4.1</w:t>
      </w:r>
    </w:p>
    <w:p>
      <w:r>
        <w:t>Die Zollkreisdirektion hat in ihrer Rückforderungsverfügung lediglich die Rückzahlung der ausgerichteten Ausfuhrbeiträge von insgesamt Fr. 1'272'274.40 verlangt. Die Vorinstanz hat indessen erkannt, dass die Beschwerdeführerin zumindest fahrlässig und damit schuldhaft gehandelt habe, weshalb sie gemäss Art. 30 Abs. 3 SuG zusätzlich zur Rückforderung der Ausfuhrbeiträge einen Zins von 5% jährlich seit der zu Unrecht erfolgten Auszahlung der Ausfuhrbeiträge zu entrichten habe.</w:t>
      </w:r>
    </w:p>
    <w:p>
      <w:r>
        <w:rPr>
          <w:b/>
        </w:rPr>
        <w:t>E. 4.4.2</w:t>
      </w:r>
    </w:p>
    <w:p>
      <w:r>
        <w:t>Die Beschwerdeführerin rügt, diese reformatio in peius sei unzulässig, da sie entgegen Art. 62 Abs. 3 VwVG über die beabsichtigte Änderung der Verfügung zu ihren Ungunsten nicht in Kenntnis gesetzt und ihr keine Gelegenheit zur Stellungnahme eingeräumt worden sei.</w:t>
      </w:r>
    </w:p>
    <w:p>
      <w:r>
        <w:rPr>
          <w:b/>
        </w:rPr>
        <w:t>E. 4.4.3</w:t>
      </w:r>
    </w:p>
    <w:p>
      <w:r>
        <w:t>Die Rüge ist begründet. Beabsichtigt eine Behörde, auf ein Rechtsmittel hin zu einer reformatio in peius zu schreiten, hat sie die betroffene Partei vorgängig darauf aufmerksam zu machen und ihr Gelegenheit zu einer Stellungnahme einzuräumen. Dieser in Art. 62 Abs. 3 VwVG statuierte Grundsatz fliesst auch direkt aus der verfassungsrechtlichen Garantie des rechtlichen Gehörs gemäss Art. 29 Abs. 2 BV . Er eröffnet dem von einer Verschlechterung bedrohten Beschwerdeführer die Möglichkeit, sein Rechtsmittel zurückzuziehen und damit den in Aussicht stehenden ungünstigen Entscheid abzuwenden ( BGE 122 V 166 E. 2a). Die Vorinstanz hat diese Anhörung unterlassen. Die Ziffer 3.4 des angefochtenen Entscheides BGE 129 II 385 S. 396 ist deshalb aufzuheben; die Vorinstanz hat der Beschwerdeführerin Gelegenheit zu einer Stellungnahme zur reformatio in peius zu geben.</w:t>
      </w:r>
    </w:p>
    <w:p>
      <w:r>
        <w:rPr>
          <w:b/>
        </w:rPr>
        <w:t>E. 4.4.4</w:t>
      </w:r>
    </w:p>
    <w:p>
      <w:r>
        <w:t>Soweit die Vorinstanz die zusätzliche Zinsforderung auf Art. 30 Abs. 3 SuG gestützt hat, ist darauf hinzuweisen, dass diese Bestimmung nach dem oben Ausgeführten auf die in Frage stehenden Ausfuhrbeiträge nicht zur Anwendung kommt. Anwendbar ist vielmehr Art. 12 Abs. 1 VStrR , wonach sowohl der zu Unrecht gewährte Beitrag als auch der Zins zurückzuerstatten sind. Dies unabhängig von einem Verschulden, denn für die Anwendung von Art. 12 VStrR genügt es, dass der objektive Tatbestand einer Widerhandlung gegen die Verwaltungsgesetzgebung des Bundes erfüllt ist (vgl. Urteil 2A.215/1998 vom 4. August 1999, E. 2, publ. in: ASA 68 S. 438). Sollte die Vorinstanz auf einer Zinsforderung bestehen, wird sie in ihrem neuen Urteil zu beachten haben, dass ein Zins nur verlangt werden kann, soweit die strafbaren Handlungen, aus welchen der Rückerstattungsanspruch hergeleitet wird, nicht verjährt sind ( Art. 12 Abs. 4 VStrR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