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689</w:t>
      </w:r>
    </w:p>
    <w:p>
      <w:r>
        <w:t>Bundesgericht (BGE), 2003-09-23, FR</w:t>
      </w:r>
    </w:p>
    <w:p>
      <w:r>
        <w:rPr>
          <w:b/>
        </w:rPr>
        <w:t xml:space="preserve">Quelle: </w:t>
      </w:r>
      <w:r>
        <w:t>https://mcp.opencaselaw.ch/entscheid/bge_BGE_129_III_689</w:t>
      </w:r>
    </w:p>
    <w:p>
      <w:r>
        <w:t>FR: ATF 129 III 689</w:t>
      </w:r>
    </w:p>
    <w:p>
      <w:r>
        <w:t>IT: DTF 129 III 689</w:t>
      </w:r>
    </w:p>
    <w:p>
      <w:pPr>
        <w:pStyle w:val="Heading2"/>
      </w:pPr>
      <w:r>
        <w:t>Regeste</w:t>
      </w:r>
    </w:p>
    <w:p>
      <w:r>
        <w:t>Regeste Anspruch von Dritten auf persönlichen Verkehr mit dem Kind; materielle Beschwer als Eintretensvoraussetzung der Berufung (Art. 274a Abs. 1, 303 Abs. 1 ZGB). Die Mutter, welcher die elterliche Obhut, nicht aber die elterliche Sorge entzogen worden ist, hat ein rechtliches Interesse an der Berufung, mit der sie unter Hinweis auf ihre Verfügungsberechtigung über die religiöse Erziehung ihrer Kinder das einem Dritten eingeräumte Recht auf persönlichen Verkehr mit diesen anficht (E. 1.2).</w:t>
      </w:r>
    </w:p>
    <w:p>
      <w:r>
        <w:t>Regeste Droit des tiers d'entretenir des relations personnelles avec l'enfant; intérêt au recours; lésion comme condition de recevabilité du recours en réforme (art. 274a al. 1, 303 al. 1 CC). La mère qui, s'étant vu retirer la garde de ses enfants, mais non l'autorité parentale, remet en cause l'octroi à un tiers d'un droit aux relations personnelles avec ceux-ci, en invoquant son pouvoir de disposer de leur éducation religieuse, a un intérêt juridique à exercer un recours en réforme (consid. 1.2).</w:t>
      </w:r>
    </w:p>
    <w:p>
      <w:r>
        <w:t>Regesto Diritto di terzi di intrattenere relazioni personali con il figlio; interesse al ricorso; lesione quale condizione di ricevibilità del ricorso per riforma (art. 274a cpv. 1, 303 cpv. 1 CC). La madre a cui è stata ritirata la custodia dei figli, ma non l'autorità parentale, ha un interesse giuridico a interporre un ricorso per riforma per rimettere in discussione la concessione a un terzo di un diritto a relazioni personali con i figli di lei, invocando il suo diritto di disporre della loro educazione religiosa (consid. 1.2).</w:t>
      </w:r>
    </w:p>
    <w:p>
      <w:pPr>
        <w:pStyle w:val="Heading2"/>
      </w:pPr>
      <w:r>
        <w:t>Erwägungen</w:t>
      </w:r>
    </w:p>
    <w:p>
      <w:r>
        <w:rPr>
          <w:b/>
        </w:rPr>
        <w:t>E. 1.2</w:t>
      </w:r>
    </w:p>
    <w:p>
      <w:r>
        <w:t>La jurisprudence pose comme condition subjective de recevabilité l'existence d'un intérêt au recours: le recourant doit avoir été matériellement lésé par la décision attaquée, c'est-à-dire atteint dans ses droits et non seulement dans ses intérêts de fait ( ATF 126 III 198 consid. 2b p. 201; ATF 120 II 5 consid. 2a p. 7/8; POUDRET, in Commentaire de la loi fédérale d'organisation judiciaire, n. 5.1 ad art. 53 OJ ; MESSMER/IMBODEN, Die Eidgenössischen Rechtsmittel in Zivilsachen, ch. 43 p. 63 s. et les références). Pour admettre l'intérêt à recourir, il suffit que le recourant fasse valoir qu'il est atteint dans sa situation juridique, c'est-à-dire dans ses droits. Si tel est effectivement le cas, le recours doit être examiné au fond. En l'espèce, la recourante prétend que son droit de disposer de l'éducation religieuse de ses enfants, selon l' art. 303 al. 1 CC , serait violé par le droit accordé à l'intimée d'entretenir des relations personnelles avec ceux-ci ( art. 274a al. 1 CC ). En tant que mère des mineurs concernés, la recourante est détentrice de l'autorité parentale; la garde de ses fils lui a toutefois été retirée. L'autorité parentale comprend notamment la compétence de déterminer les soins à donner à l'enfant, de diriger son éducation en vue de son bien et de prendre les décisions nécessaires, sous réserve de sa propre capacité ( art. 301 al. 1 CC ), de même que de décider de son lieu de résidence ( art. 301 al. 3 CC ). Découlant de l'autorité parentale, le droit de garde permet de choisir le lieu de résidence et le mode d'encadrement de l'enfant (cf. ATF 128 III 9 consid. 4a p. 9/10 et les références). Avec le retrait de la garde ( art. 310 CC ), la recourante BGE 129 III 689 S. 692 a perdu les droits et obligations qui y sont liés, mais pas l'autorité parentale et ses autres composantes, à savoir, en particulier, la compétence en matière d'éducation religieuse de ses enfants ( art. 303 al. 1 CC ; ATF 79 II 344 ). Aux termes de ce dernier article, les père et mère disposent de l'éducation religieuse de l'enfant. Alors que cette prérogative était autrefois expressément prévue au niveau constitutionnel ( art. 49 al. 3 aCst. ), aucune règle spéciale correspondante ne figure dans la Constitution fédérale actuellement en vigueur. Cependant, la faculté des parents de décider de l'éducation religieuse de leurs enfants est une composante de leur propre liberté de conscience et de croyance, garantie par l' art. 15 al. 1 Cst. ( ATF 119 Ia 178 consid. 2b p. 181 s. et les auteurs cités). Cette liberté individuelle - qui, en cas de retrait de l'autorité parentale, dont elle découle, est transférée au tuteur - n'est pas affectée par la suppression de la garde. A cet égard, il importe peu qu'ensuite de la perte du pouvoir éducatif, consécutive au retrait du droit de garde, l'influence réelle sur le développement spirituel de l'enfant devienne vraisemblablement très limitée au fur et à mesure que celui-ci grandit. Dans ces conditions, on ne peut dénier à la recourante un intérêt juridiquement protégé à interjeter un recours en réforme. Il y a donc lieu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