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626</w:t>
      </w:r>
    </w:p>
    <w:p>
      <w:r>
        <w:t>Bundesgericht (BGE), 2003-07-30, DE</w:t>
      </w:r>
    </w:p>
    <w:p>
      <w:r>
        <w:rPr>
          <w:b/>
        </w:rPr>
        <w:t xml:space="preserve">Quelle: </w:t>
      </w:r>
      <w:r>
        <w:t>https://mcp.opencaselaw.ch/entscheid/bge_BGE_129_III_626</w:t>
      </w:r>
    </w:p>
    <w:p>
      <w:r>
        <w:t>FR: ATF 129 III 626</w:t>
      </w:r>
    </w:p>
    <w:p>
      <w:r>
        <w:t>IT: DTF 129 III 626</w:t>
      </w:r>
    </w:p>
    <w:p>
      <w:pPr>
        <w:pStyle w:val="Heading2"/>
      </w:pPr>
      <w:r>
        <w:t>Regeste</w:t>
      </w:r>
    </w:p>
    <w:p>
      <w:r>
        <w:t>Regeste Vollstreckung einer ausländischen vorsorglichen Sicherungsmassnahme; Lugano-Übereinkommen (LugÜ). Begriff der englischen "Freezing (Mareva) Injunction" sowie der englischen "world-wide Mareva Injunction" (E. 1). Überprüfungsbefugnis des Bundesgerichts bei Beschwerden wegen Verletzung von Staatsverträgen mit dem Ausland (Art. 84 Abs. 1 lit. c OG; E. 2). Begründungspflicht des Beschwerdeführers (E. 4). Die englische "Freezing Injunction" ist ein Entscheid im Sinne von Art. 25 LugÜ und kann in der Schweiz vollstreckbar sein (Art. 31 Abs. 1 LugÜ; E. 5). Berücksichtigung der Rechtsprechung des Gerichtshofs der Europäischen Gemeinschaften (EuGH) bei der Anwendung des LugÜ, insbesondere im Zusammenhang mit dem Gehörsanspruch des Schuldners (E. 5.2) und der Zuständigkeit zur Anordnung einstweiliger Massnahmen (Art. 24 LugÜ; E. 5.3).</w:t>
      </w:r>
    </w:p>
    <w:p>
      <w:r>
        <w:t>Regeste Exécution d'une mesure provisionnelle conservatoire prononcée à l'étranger; Convention de Lugano (CL). Concepts anglais de "Freezing (Mareva) Injunction" et de "world-wide Mareva Injunction" (consid. 1). Pouvoir d'examen du Tribunal fédéral en cas de recours pour violation de traités internationaux (art. 84 al. 1 let. c OJ; consid. 2). Devoir de motiver du recourant (consid. 4). La "Freezing Injunction" du droit anglais est une décision au sens de l'art. 25 CL et peut être exécutée en Suisse (art. 31 al. 1 CL; consid. 5). Prise en considération de la jurisprudence de la Cour de justice des Communautés européennes (CJCE) lors de l'application de la Convention de Lugano, en particulier en relation avec le droit d'être entendu du débiteur (consid. 5.2) et s'agissant de la compétence d'ordonner des mesures provisoires (art. 24 CL; consid. 5.3).</w:t>
      </w:r>
    </w:p>
    <w:p>
      <w:r>
        <w:t>Regesto Esecuzione di un provvedimento cautelare conservativo straniero; Convenzione di Lugano (CL). Descrizione dei provvedimenti inglesi "Freezing (Mareva) Injunction" e "world-wide Mareva Injunction" (consid. 1). Potere d'esame del Tribunale federale nel quadro di ricorsi fondati sulla violazione di trattati internazionali (art. 84 cpv. 1 lett. c OG; consid. 2). Obbligo di motivazione a carico del ricorrente (consid. 4). La "Freezing Injunction" del diritto inglese è una decisione ai sensi dell'art. 25 CL e può essere eseguita in Svizzera (art. 31 cpv. 1 CL; consid. 5). Qualora venga applicata la CL occorre tenere conto della giurisprudenza della Corte di Giustizia delle Comunità Europee (CGCE), in particolare con riferimento al diritto di essere sentito del debitore (consid. 5.2) e alla questione della competenza per ordinare misure provvisionali (art. 24 CL; consid. 5.3).</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 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 Spühler [Hrsg.], Internationales Zivilprozess- und Verfahrensrecht, Zürich 2001, S. 51 ff.; STEPHEN V. BERTI, Translating the "Mareva" - The enforcement of an English Freezing Order in Zurich, in: "nur, aber immerhin", Festgabe für Anton K. Schnyder zum 50. Geburtstag, Zürich 2002, S. 11 ff.). BGE 129 III 626 S. 629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world-wide Mareva Injunction; vgl. CHRISTIAN ALBRECHT, Artikel 24 EuGVÜ und die Entwicklung des einstweiligen Rechtsschutzes in England seit 1998, IPRax 1992 S.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(Lugano-Übereinkommen, LugÜ; SR 0.275.11) geregelt. Der Beschwerdeführer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 (...)</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BGE 128 I 354 E. 6c; BGE 127 I 38 E. 3c). Entsprechend BGE 129 III 626 S. 630 beschränkt sich das vorliegende Verfahren auf eine Auseinandersetzung mit den vom Beschwerdeführer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Bd. 234 [1992 III], S. 127; DANIEL STOLL, Die britische Mareva-Injunction als Gegenstand eines Vollstreckungsbegehrens unter dem Lugano-Übereinkommen, SJZ 92/1996 S. 104 ff.; YVES DONZALLAZ, La Convention de Lugano, Bd. II, Bern 1997, Rz. 2448 ff., S. 264 f.; BERNET, a.a.O., S. 65; BLOCH/HESS, a.a.O., S. 177 f.; BERTI, a.a.O., S. 11). Davon geht zutreffend auch der Beschwerdeführer aus. Er bringt indessen vor, das Obergericht habe staatsvertragliche Vollstreckbarkeitshindernisse missachtet.</w:t>
      </w:r>
    </w:p>
    <w:p>
      <w:r>
        <w:rPr>
          <w:b/>
        </w:rPr>
        <w:t>E. 5.1</w:t>
      </w:r>
    </w:p>
    <w:p>
      <w:r>
        <w:t>Der Beschwerdeführer macht einmal geltend, die am 30. Mai 2002 erlassene Freezing Injunction sei nach dem Recht des Ursprungsstaates in der Schweiz nicht vollstreckbar. Er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BGE 115 II 187 E. 3c; BGE 101 II 374 E. 1; BGE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des Beschwerdeführers, BGE 129 III 626 S. 631 die Injunction selbst schliesse ihre Vollstreckung in der Schweiz aus, ist daher offensichtlich unbegründet.</w:t>
      </w:r>
    </w:p>
    <w:p>
      <w:r>
        <w:rPr>
          <w:b/>
        </w:rPr>
        <w:t>E. 5.2</w:t>
      </w:r>
    </w:p>
    <w:p>
      <w:r>
        <w:t>In zweiter Linie macht der Beschwerdeführer geltend, die Freezing Injunction sei in der Schweiz nicht vollstreckbar, weil die Abänderung vom 12. November 2002 ohne seine Anhörung ergangen sei. Er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in der Rechtssache 125/79, Denilauler gegen Couchet,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BGE 129 III 626 S. 632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 SCHÜTZE, Europäisches Zivilverfahrensrecht, München 1997, N. 35 zu Art. 25 EuGVÜ/LugÜ mit Hinweisen; ANDREAS SCHMUTZ, Massnahmen des vorsorglichen Rechtsschutzes im Lugano-Übereinkommen aus schweizerischer Sicht, Diss. Bern 1993, S. 125 ff.; differenziert etwa: DONZALLAZ, a.a.O., Bd. II, Rz. 2152 ff., S. 172 ff.; HÉLÈNE GAUDEMET-TALLON, Les Conventions de Bruxelles et de Lugano, 2. Aufl.,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BGE 129 III 626 S. 633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 VOLKEN, Das Lugano-Übereinkommen - Entstehungsgeschichte und Regelungsbereich, in: Schwander vgt., S. 37 ff., 54 ff; WALTER, a.a.O., S. 499; BERNET, a.a.O., S. 64; SCHMUTZ, a.a.O., S. 5 ff.; BERTI, a.a.O., S. 17/18; zurückhaltender DONZALLAZ, a.a.O., Bd. I).</w:t>
      </w:r>
    </w:p>
    <w:p>
      <w:r>
        <w:rPr>
          <w:b/>
        </w:rPr>
        <w:t>E. 5.2.2</w:t>
      </w:r>
    </w:p>
    <w:p>
      <w:r>
        <w:t>Der Beschwerdeführer anerkennt, dass ihm bezüglich der Freezing Injunction vom 30. Mai 2002 das - nachträgliche - rechtliche Gehör gewährt wurde. Eine die Vollstreckung hindernde Gehörsverweigerung erblickt er jedoch darin, dass der High Court das Verbot, die Injunction ausserhalb von England und Wales vollstrecken zu lassen, erst mit Verfügung vom 12. November 2002 aufgehoben habe, zu welcher Verschlechterung seiner Rechtsstellung er weder vorgängig noch nachträglich angehört worden sei. BGE 129 III 626 S. 634 Die Rüge ist unbegründet und zwar aus einem doppelten Grund: Einmal geht der Beschwerdeführer selbst und zu Recht davon aus, dass ihm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den Beschwerdeführer eine Vollstreckung der Injunction im Ausland voraussehbar und hatte er die Möglichkeit, sich in seinem Antrag auf Aufhebung bzw. Abänderung der Massnahme auch dazu zu äussern. Dies aber genügte, seinen Gehörsanspruch zu wahren. Von einem staatsvertraglich verpönten Überraschungseffekt kann nicht die Rede sein. Sodann hält der Beschwerdeführer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(vom 16. Juni 1981 in der Rechtssache 166/80, Klomps gegen Michel, Slg. 1981, S. 1593 ff.) wurde die Zulässigkeit der Gewährung rechtlichen Gehörs ex post durch die Erhebung eines Widerspruchs gegen einen im deutschen Mahnverfahren ergangenen Zahlungsbefehl bejaht (dazu HEINRICH NAGEL, IPRax 1982 S. 5 ff.), in der andern (vom 27. November 1984 in der Rechtssache 258/83, Brennero gegen Wendel,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BGE 129 III 626 S. 635 Die Verfügung des High Court vom 12. November 2002 enthält - wie inhaltlich gleich lautend diejenige vom 30. Mai 2002 - folgende Bestimmung (Ziff. 2): "This Order was made without notice to the Defendants, who have a right to apply to the Court to vary or discharge this Order (see paragraph 4 below)." Damit wurde der Anspruch des Beschwerdeführers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des Beschwerdeführers nichts, dass die Beschwerdegegnerin in Anhang (Schedule) 1 Ziff. 2 der Verfügung des High Court vom 12. November 2002 verpflichtet wurde, das Gesuch um Vollstreckbarerklärung dem Bezirksgericht Zürich noch gleichentags einzureichen, und dass der Beschwerdeführer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BGE 129 III 626 S. 636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des Beschwerdeführers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des Beschwerdeführers auch bezogen auf die Verfügung des High Court vom 12. November 2002 hinreichend gewährleistet.</w:t>
      </w:r>
    </w:p>
    <w:p>
      <w:r>
        <w:rPr>
          <w:b/>
        </w:rPr>
        <w:t>E. 5.3</w:t>
      </w:r>
    </w:p>
    <w:p>
      <w:r>
        <w:t>In dritter Linie macht der Beschwerdeführer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BGE 129 III 626 S. 637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(u.a. Urteil vom 17. November 1998 in der Rechtssache C-391/95, Van Uden Maritime BV gegen Deco-Line, Slg. 1998, I-7091 ff., Leitsätze 4 und 5). In einem Urteil vom 27. April 1999 hat der EuGH diese Rechtsprechung, namentlich zu den so genannten Leistungsverfügungen, bestätigt (Urteil vom 27. April 1999 in der Rechtssache C-99/96, Mietz gegen Intership Yachting Sneek BV, Slg. 1999, I-2277 ff., Leitsatz 2). Im erstgenannten Entscheid standen Begriff und Zuständigkeit der einstweiligen Massnahme im Vordergrund, im zweitgenannten die Freizügigkeit bestimmter Anordnungen. Im vorliegenden Verfahren steht keine Leistungsverfügung zur Beurteilung. Der Beschwerdeführer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Randnr. 46 und Mietz Randnr. 47; JAMETTI GREINER, a.a.O.; WALTER, a.a.O., S. 501; HESS/VOLLKOMMER, a.a.O., S. 222; HESS, Die BGE 129 III 626 S. 638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5-18 EuGVÜ/LugÜ)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(Randnr. 19 und 22). In der Mietz-Entscheidung hat er diese Rechtsprechung bestätigt (Randnr. 41 mit hier nicht interessierenden Einschränkungen für die Leistungsverfügungen in Randnr. 42). Dabei ist unerheblich, ob das nach dem Übereinkommen zuständige Gericht mit der Hauptsache befasst ist oder nicht; die virtuelle Zuständigkeit dazu genügt, sie auch voraussetzungslos für die Anordnung einstweiliger Sicherungsmassnahmen zu begründen (Entscheidung Van Uden Randnr. 29 und 34; Entscheidung Mietz Randnr.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Randnr.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world-wide Mareva (Freezing) Injunction gegenüber in einem Vertragsstaat domizilierten Personen von einem nach Art. 2 oder 5-18 LugÜ zuständigen Hauptsachengericht mit transnationalem Vollstreckbarkeitsanspruch erlassen werden können, unbesehen BGE 129 III 626 S. 639 darum, ob das Massnahmegericht mit der Hauptsache befasst ist oder nicht (STADLER, a.a.O., S. 1093; a.A.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EuGVÜ/LugÜ; WALTER, a.a.O., S. 397 f.). Der Beschwerdeführer beansprucht keinen Wohnsitz in einem Vertragsstaat. Er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des Beschwerdeführers und dreier Streitgenossen bestätigte, ausdrücklich die staatsvertragliche Zuständigkeit aus dem Gerichtsstand der Streitgenossenschaft bejahte ( Art. 6 Ziff. 1 LugÜ ), weil einer der Streitgenossen Wohnsitz und Vermögen in England und ein anderer dort ebenfalls Vermögen präsent hatte. Diese virtuelle Hauptsachenzuständigkeit aber begründet nach dem Gesagten voraussetzungslos auch die Eilzuständigkeit. Damit entfällt gegenüber dem Beschwerdeführer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der Beschwerdeführer geltend, die Freezing Injunction sei zu unbestimmt gehalten, um vollstreckbar erklärt zu werden. BGE 129 III 626 S. 640 Der Beschwerdeführer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