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391</w:t>
      </w:r>
    </w:p>
    <w:p>
      <w:r>
        <w:t>Bundesgericht (BGE), 2003-06-02, DE</w:t>
      </w:r>
    </w:p>
    <w:p>
      <w:r>
        <w:rPr>
          <w:b/>
        </w:rPr>
        <w:t xml:space="preserve">Quelle: </w:t>
      </w:r>
      <w:r>
        <w:t>https://mcp.opencaselaw.ch/entscheid/bge_BGE_129_III_391</w:t>
      </w:r>
    </w:p>
    <w:p>
      <w:r>
        <w:t>FR: ATF 129 III 391</w:t>
      </w:r>
    </w:p>
    <w:p>
      <w:r>
        <w:t>IT: DTF 129 III 391</w:t>
      </w:r>
    </w:p>
    <w:p>
      <w:pPr>
        <w:pStyle w:val="Heading2"/>
      </w:pPr>
      <w:r>
        <w:t>Regeste</w:t>
      </w:r>
    </w:p>
    <w:p>
      <w:r>
        <w:t>Regeste Freigabe von Arrestgegenständen gegen Sicherheitsleistung (Art. 277 SchKG). Sobald in der zur Arrestprosequierung eingeleiteten Betreibung die mit Arrest belegten Gegenstände gepfändet sind, fällt eine Freigabe nach Art. 277 SchKG in jedem Fall ausser Betracht (E. 2 und 3).</w:t>
      </w:r>
    </w:p>
    <w:p>
      <w:r>
        <w:t>Regeste Libération des objets séquestrés contre fourniture de sûretés (art. 277 LP). Une fois que les objets séquestrés ont été saisis dans la poursuite en validation de séquestre, une libération selon l'art. 277 LP n'entre absolument plus en considération (consid. 2 et 3).</w:t>
      </w:r>
    </w:p>
    <w:p>
      <w:r>
        <w:t>Regesto Svincolo di oggetti sequestrati contro prestazione di garanzia (art. 277 LEF). Una volta che gli oggetti sequestrati sono stati pignorati nell'ambito dell'esecuzione a convalida del sequestro, un loro svincolo ai sensi dell'art. 277 LEF non entra più in alcun modo in linea di conto (consid. 2 e 3).</w:t>
      </w:r>
    </w:p>
    <w:p>
      <w:pPr>
        <w:pStyle w:val="Heading2"/>
      </w:pPr>
      <w:r>
        <w:t>Erwägungen</w:t>
      </w:r>
    </w:p>
    <w:p>
      <w:r>
        <w:rPr>
          <w:b/>
        </w:rPr>
        <w:t>E. 2</w:t>
      </w:r>
    </w:p>
    <w:p>
      <w:r>
        <w:t>Das Obergericht hat festgehalten, Grundlage des vom Beschwerdeführer gestützt auf Art. 277 erster Satz SchKG gestellten Freigabegesuchs sei, dass im Fall der Pfändung die Arrestgegenstände oder an deren Stelle andere Vermögensstücke von gleichem Wert vorhanden sein würden. Hier seien die arrestierten Gemälde am 16. Oktober 2002 gepfändet worden. Der Arrestbeschlag und damit auch das Gesuch um Freigabe der Arrestgegenstände gegen Sicherheitsleistung seien deshalb obsolet. Die der Beschwerde zugrunde liegende Verfügung des Betreibungsamtes vom 13. Februar 2002 habe sich nicht auf den Pfändungsbeschlag bezogen, sondern auf den heute nicht mehr aktuellen Arrestbeschlag, und auf die Pfändung sei Art. 277 SchKG , auf dem das Freigabegesuch des Beschwerdeführers beruhe, nicht anwendbar. Sei aber die betreibungsamtliche Verfügung vom 13. Februar 2002 zur Freigabe der arrestierten Gemälde und demzufolge auch das betreffende Rechtsmittelverfahren gegenstandslos geworden, sei letzteres abzuschreiben. BGE 129 III 391 S. 394</w:t>
      </w:r>
    </w:p>
    <w:p>
      <w:r>
        <w:rPr>
          <w:b/>
        </w:rPr>
        <w:t>E. 3</w:t>
      </w:r>
    </w:p>
    <w:p>
      <w:r>
        <w:t>Was in der Beschwerde vorgebracht wird, ist nicht geeignet, den angefochtenen Entscheid als bundesrechtswidrig erscheinen zu lassen: Der Beschwerdeführer erklärt, die Vorinstanz habe eine künstliche Trennung zwischen Arrest- und Pfändungsbeschlag vorgenommen, und glaubt, aus BGE 120 III 89 ff. ableiten zu können, dass sein Begehren um Entlassung der Gemälde aus dem Arrestbeschlag gegen Sicherheitsleistung durch den Vollzug der Pfändung nicht gegenstandslos geworden sei. Wie die Vorinstanz zutreffend bemerkt, hatte dem angerufenen Urteil ein Gesuch zugrunde gelegen, das eingereicht worden war, als die herausverlangten arrestierten Gegenstände bereits mit Pfändungsbeschlag belegt worden waren. Aus der Feststellung des Bundesgerichts, das Freigabegesuch müsse vor dem Vollzug der Pfändung in der Arrestprosequierungsbetreibung gestellt werden ( BGE 120 III 89 E. 4b S. 91), ergibt sich nicht zwangsläufig, dass ein vor der Pfändung eingereichtes Gesuch auch noch nach deren Vollzug zu einer Freigabe der arrestierten Gegenstände führen kann. Mit der Vorinstanz ist im Gegenteil davon auszugehen, dass Art. 277 SchKG in einem solchen Fall nicht mehr zum Tragen kommt. Sobald in dem zur Prosequierung des Arrestes eingeleiteten Betreibungsverfahren die Voraussetzungen für das Fortsetzungsbegehren erfüllt sind, kann der Gläubiger den Vollzug der Pfändung verlangen, ohne dass er sich ein allenfalls noch hängiges Freigabegesuch des Schuldners entgegenhalten zu lassen hätte. Der Einwand des Beschwerdeführers, es könnten nur Vermögenswerte gepfändet werden, die vom Arrestbeschlag erfasst gewesen seien, und es müsse hier zunächst darüber befunden werden, ob es die strittigen Gemälde seien oder eine an deren Stelle tretende Sicherheitsleistung, ist deshalb unbehelflich. Mit der Pfändung fällt das Interesse des Gläubigers an der durch den Arrest gewährleisteten (provisorischen) Sicherung dahin. Gleichzeitig wird der dem Schuldner gebotenen Möglichkeit, die freie Verfügung über die Arrestobjekte gegen Leistung einer entsprechenden Sicherheit wieder zu erlangen, die Grundlage entzogen. Wünscht der Schuldner (einstweilen) im Genuss der mit Beschlag belegten Sache zu bleiben und handelt es sich bei dieser nicht um einen unter Art. 98 Abs. 1 SchKG fallenden Vermögenswert, steht ihm offen, sich gegenüber dem Betreibungsamt auf Art. 98 Abs. 2 SchKG zu berufen. Nichts zu ändern am Gesagten vermag der Hinweis des Beschwerdeführers auf die obergerichtliche Präsidialverfügung vom 4. September 2002, mit der das Betreibungsamt angewiesen worden war, BGE 129 III 391 S. 395 während der Dauer des Rekursverfahrens im Betreibungsverfahren von Verwertungshandlungen abzusehen: Es ist nicht ersichtlich, inwiefern der Pfändungsvollzug vom 16. Oktober 2002 (der keinen Verwertungsakt darstellt) gegen die erwähnte Anweisung verstossen haben soll. Dass die Pfändung aus einem andern Grund nicht hätte vollzogen werden dürfen,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