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31</w:t>
      </w:r>
    </w:p>
    <w:p>
      <w:r>
        <w:t>Bundesgericht (BGE), 2002-09-04, DE</w:t>
      </w:r>
    </w:p>
    <w:p>
      <w:r>
        <w:rPr>
          <w:b/>
        </w:rPr>
        <w:t xml:space="preserve">Quelle: </w:t>
      </w:r>
      <w:r>
        <w:t>https://mcp.opencaselaw.ch/entscheid/bge_BGE_129_III_31</w:t>
      </w:r>
    </w:p>
    <w:p>
      <w:r>
        <w:t>FR: ATF 129 III 31</w:t>
      </w:r>
    </w:p>
    <w:p>
      <w:r>
        <w:t>IT: DTF 129 III 31</w:t>
      </w:r>
    </w:p>
    <w:p>
      <w:pPr>
        <w:pStyle w:val="Heading2"/>
      </w:pPr>
      <w:r>
        <w:t>Regeste</w:t>
      </w:r>
    </w:p>
    <w:p>
      <w:r>
        <w:t>Regeste Art. 5 und 24 Abs. 1 GestG; Zuständigkeit der Gerichte am Ort der Niederlassung bei arbeitsrechtlichen Klagen. Bei arbeitsrechtlichen Klagen kann das Gericht am Ort der Niederlassung (Art. 5 GestG) neben dem Gericht am Wohnsitz oder Sitz der beklagten Partei oder am gewöhnlichen Arbeitsort (Art. 24 Abs. 1 GestG) angerufen werden (E. 3).</w:t>
      </w:r>
    </w:p>
    <w:p>
      <w:r>
        <w:t>Regeste Art. 5 et 24 al. 1 LFors; compétence des tribunaux du lieu de l'établissement pour connaître des actions fondées sur le droit du travail. Les actions fondées sur le droit du travail peuvent être introduites non seulement au domicile ou au siège du défendeur ou encore au lieu de travail habituel (art. 24 al. 1 LFors), mais également au lieu de l'établissement (art. 5 LFors; consid. 3).</w:t>
      </w:r>
    </w:p>
    <w:p>
      <w:r>
        <w:t>Regesto Art. 5 e 24 cpv. 1 LForo; competenza del giudice del luogo della stabile organizzazione a statuire sulle azioni in materia di diritto del lavoro. Le azioni in materia di diritto del lavoro possono essere introdotte dinanzi al giudice del luogo in cui la parte convenuta ha la stabile organizzazione (art. 5 LForo) come anche dinanzi a quello del suo domicilio o della sua sede, oppure davanti al giudice del luogo in cui il lavoratore svolge abitualmente il lavoro (art. 24 cpv. 1 LForo; consid. 3).</w:t>
      </w:r>
    </w:p>
    <w:p>
      <w:pPr>
        <w:pStyle w:val="Heading2"/>
      </w:pPr>
      <w:r>
        <w:t>Erwägungen</w:t>
      </w:r>
    </w:p>
    <w:p>
      <w:r>
        <w:rPr>
          <w:b/>
        </w:rPr>
        <w:t>E. 3</w:t>
      </w:r>
    </w:p>
    <w:p>
      <w:r>
        <w:t>Die Vorinstanz kam zum Schluss, dass eine Zuständigkeit der Niederlassung nach Art. 5 des Gerichtsstandsgesetzes (GestG; SR 272) gegeben sei, da der Beklagte in Y. eine im Handelsregister eingetragene Geschäftsniederlassung habe. Der Beklagte macht geltend, in arbeitsrechtlichen Streitigkeiten sei der Gerichtsstand der Niederlassung nicht gegeben.</w:t>
      </w:r>
    </w:p>
    <w:p>
      <w:r>
        <w:rPr>
          <w:b/>
        </w:rPr>
        <w:t>E. 3.1</w:t>
      </w:r>
    </w:p>
    <w:p>
      <w:r>
        <w:t>Art. 5 GestG sieht für Klagen aus dem Betrieb einer geschäftlichen oder beruflichen Niederlassung oder Zweigniederlassung eine Zuständigkeit der Gerichte am Wohnsitz oder Sitz der beklagten Partei sowie am Ort der Niederlassung vor. Der Begriff der Niederlassung umfasst die Zweigniederlassung einer Handelsgesellschaft oder Genossenschaft, aber auch die berufliche oder geschäftliche Niederlassung einer natürlichen Person (Arzt, Anwalt), einer Einzelfirma oder einer Personengesellschaft (Botschaft des Bundesrates zum Bundesgesetz über den Gerichtsstand in Zivilsachen vom 18. November 1998, Botschaft, BBl 1999 S. 2846; VOGEL/SPÜHLER, Grundriss des Zivilprozessrechts, 7. Aufl., Zürich 2001, 4. Kap., Rz. 50). Die bundesgerichtliche Rechtsprechung zum Begriff der Zweigniederlassung, welche eine gewisse wirtschaftliche und geschäftliche Unabhängigkeit verlangt ( BGE 120 III 11 E. 1a; BGE 117 II 85 E. 3; BGE 101 Ia 39 E. 3, je mit Hinweisen), kann beibehalten werden (VALLONI/BARTHOLD, Das Schweizerische Gerichtsstandsgesetz, Zürich 2002, S. 25 f. Ziff. 5.4). Unbestritten ist, dass die im Handelsregister eingetragene Einzelfirma des Beklagten eine Niederlassung im Sinne von Art. 5 GestG ist. Der Beklagte macht weder geltend, die Vorinstanz habe ihrem Urteil einen falschen Begriff der Niederlassung zugrunde gelegt, noch bringt er vor, dass es sich bei der Filiale in X. um eine Zweigniederlassung handle, die einen eigenen Gerichtsstand begründen würde. Wie die Vorinstanz für das Bundesgericht verbindlich festgestellt hat, sind die Filialen der Einzelfirma des Beklagten vielmehr Verkaufsläden, die gegen Aussen als wirtschaftliche Einheit auftreten; in allen Läden werden unter der Einzelfirma BGE 129 III 31 S. 33 "Skishop A." Sportartikel verkauft. Weiter hat sie festgestellt, dass der Beklagte seine Filialen von Y. aus leitete, woraus sie zu Recht auf eine dortige Niederlassung schloss. Unbestritten ist, dass die Klage am dortigen Sitz erhoben wurde, und dass der von Art. 5 GestG geforderte Zusammenhang zwischen den geltend gemachten Ansprüchen und der Niederlassung besteht.</w:t>
      </w:r>
    </w:p>
    <w:p>
      <w:r>
        <w:rPr>
          <w:b/>
        </w:rPr>
        <w:t>E. 3.2</w:t>
      </w:r>
    </w:p>
    <w:p>
      <w:r>
        <w:t>Somit bleibt lediglich zu prüfen, ob der Gerichtsstand der Niederlassung ( Art. 5 GestG ) neben dem Gerichtsstand für arbeitsrechtliche Klagen gemäss Art. 24 Abs. 1 GestG angerufen werden kann. Aus der Botschaft (BBl 1999 S. 2846) geht hervor, dass Art. 5 GestG dem Kläger neben dem allgemeinen Gerichtsstand am Sitz oder Wohnsitz der beklagten Partei sowie neben allfälligen besondern Gerichtsständen gemäss dem 3. Kapitel des Gerichtsstandsgesetzes ein weiteres Forum am Ort der Niederlassung oder Zweigniederlassung der beklagten Partei zur Verfügung stellen soll. Auch der überwiegende Teil der Lehre geht davon aus, dass Art. 5 GestG neben dem allgemeinen Gerichtsstand ( Art. 3 GestG ) sowie neben allfälligen besonderen Zuständigkeiten gemäss dem 3. Kapitel des Gerichtsstandsgesetzes ein Forum am Ort der Niederlassung einräumt, falls die besonderen Gerichtsstände eine Zuständigkeit am Sitz des Beklagten vorsehen (MÜLLER/WIRTH, Gerichtsstandsgesetz, Zürich 2001, Art. 5 GestG N. 23, Art. 24 GestG N. 72; DONZALLAZ, Commentaire de la loi fédérale sur les fors en matière civile, Bern 2001, Art. 5 GestG N. 4, Art. 24 GestG N. 27; KELLERHALS/VON WERDT/GÜNGERICH, Gerichtsstandsgesetz, Bern 2001, Art. 5 GestG N. 1, Art. 24 GestG N. 9; VALLONI/BARTHOLD, a.a.O., S. 25 f. Ziff. 5.4). Hingegen geht Infanger (SPÜHLER/TENCHIO/INFANGER, Gerichtsstandsgesetz, Basel 2001, Art. 5 GestG N. 4) davon aus, dass der Gerichtsstand der Niederlassung nur gewählt werden kann, wenn im 3. Kapitel des Gerichtsstandsgesetzes kein besonderer Gerichtsstand vorgesehen ist. Der Beklagte stützt seine Rüge auf die Lehrmeinung von Infanger, welche den Materialien und dem überwiegenden Teil der Lehre entgegensteht. Seinen Standpunkt begründet der Beklagte zudem mit dem Umkehrschluss, dass in Art. 24 Abs. 2 GestG für stellensuchende Personen der Niederlassungsort als Gerichtsstand ausdrücklich erwähnt werde, und deshalb mangels Erwähnung in Art. 24 Abs. 1 GestG für arbeitsrechtliche Klagen nicht in Frage komme. Damit verkennt er jedoch, dass die Sonderregelung für Personalverleih und Arbeitsvermittlung in Art. 24 Abs. 2 GestG erfordert, BGE 129 III 31 S. 34 den Gerichtsstand des Niederlassungsortes genauer und in Abweichung von Art. 5 GestG zu umschreiben. Dem Willen des Gesetzgebers entsprechend, der vom überwiegenden Teil der Lehre gestützt wird, rechtfertigt es sich, für Klagen aus dem Betrieb einer Niederlassung oder Zweigniederlassung immer auch den Gerichtsstand an deren Ort zur Verfügung zu stellen. Dies ergibt sich im Falle arbeitsrechtlicher Klagen insbesondere auch daraus, dass der Gesetzgeber mit der Anknüpfung an den gewöhnlichen Arbeitsort gemäss Art. 24 Abs. 1 GestG eine Konkordanz mit den Fassungen von Art. 5 Ziff. 1 LugÜ (SR 0.275.11) und Art. 115 Abs. 1 IPRG (SR 291) herstellen wollte, welche dieselbe Anknüpfung kennen (Botschaft, BBl 1999 S. 2862). Sowohl Art. 5 Ziff. 1 LugÜ in Verbindung mit Art. 5 Ziff. 5 LugÜ , wie auch Art. 115 Abs. 1 IPRG in Verbindung mit Art. 112 Abs. 2 IPRG sehen für arbeitsrechtliche Klagen den Niederlassungsort als alternativen Gerichtsstand neben dem gewöhnlichen Arbeitsort vor.</w:t>
      </w:r>
    </w:p>
    <w:p>
      <w:r>
        <w:rPr>
          <w:b/>
        </w:rPr>
        <w:t>E. 3.3</w:t>
      </w:r>
    </w:p>
    <w:p>
      <w:r>
        <w:t>Da bei arbeitsrechtlichen Streitigkeiten die Gerichte am Ort der Niederlassung neben den Gerichten am Wohnsitz oder Sitz der beklagten Partei oder jenem am gewöhnlichen Arbeitsort angerufen werden können, hat die Vorinstanz die örtliche Zuständigkeit des Bezirksgerichts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