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129 III 209</w:t>
      </w:r>
    </w:p>
    <w:p>
      <w:r>
        <w:t>Bundesgericht (BGE), 2002-10-30, DE</w:t>
      </w:r>
    </w:p>
    <w:p>
      <w:r>
        <w:rPr>
          <w:b/>
        </w:rPr>
        <w:t xml:space="preserve">Quelle: </w:t>
      </w:r>
      <w:r>
        <w:t>https://mcp.opencaselaw.ch/entscheid/bge_BGE_129_III_209</w:t>
      </w:r>
    </w:p>
    <w:p>
      <w:r>
        <w:t>FR: ATF 129 III 209</w:t>
      </w:r>
    </w:p>
    <w:p>
      <w:r>
        <w:t>IT: DTF 129 III 209</w:t>
      </w:r>
    </w:p>
    <w:p>
      <w:pPr>
        <w:pStyle w:val="Heading2"/>
      </w:pPr>
      <w:r>
        <w:t>Regeste</w:t>
      </w:r>
    </w:p>
    <w:p>
      <w:r>
        <w:t>Regeste Art. 27 Abs. 2 ZGB; Rechtsfolgen einer übermässigen Bindung. Ein Vertrag, der den höchstpersönlichen Kernbereich einer Person betrifft, bei dem jede vertragliche Bindung gegen die guten Sitten verstösst, ist nichtig. Ausserhalb dieses Bereichs erfordert der mit Art. 27 Abs. 2 ZGB bezweckte Schutz der persönlichen Freiheit nicht die von Amtes wegen zu beachtende Nichtigkeit übermässiger Bindungen, sondern bloss das Recht der übermässig gebundenen Partei, die Vertragserfüllung zu verweigern (Präzisierung der Rechtsprechung). Dieses Recht ist höchstpersönlicher Natur und damit unvererblich (E. 2).</w:t>
      </w:r>
    </w:p>
    <w:p>
      <w:r>
        <w:t>Regeste Art. 27 al. 2 CC; conséquences juridiques d'un engagement excessif. Est nul le contrat qui touche le noyau de la sphère strictement personnelle d'une personne, dans lequel tout engagement contractuel est contraire aux moeurs. Hormis ce domaine, l'objectif de protection de la liberté personnelle recherché par l'art. 27 al. 2 CC n'entraîne pas la nullité des engagements excessifs qui doit être constatée d'office, mais confère simplement à la partie liée de manière excessive le droit de refuser l'exécution du contrat (précision de la jurisprudence). Ce droit est de nature strictement personnelle, de sorte qu'il ne peut pas être acquis par voie successorale (consid. 2).</w:t>
      </w:r>
    </w:p>
    <w:p>
      <w:r>
        <w:t>Regesto Art. 27 cpv. 2 CC; effetti giuridici di un impegno eccessivo. Un contratto concernente la sfera strettamente personale di un individuo è nullo, ogni impegno contrattuale in questo ambito essendo contrario ai buoni costumi. A prescindere da quest'eventualità, la protezione della personalità a cui mira l'art. 27 cpv. 2 CC non comporta la nullità di impegni eccessivi, che dev'essere rilevata d'ufficio; essa si limita a concedere alla parte impegnatasi in maniera eccessiva la possibilità di rifiutare l'adempimento del contratto (precisazione della giurisprudenza). Si tratta di un diritto strettamente personale e quindi non trasmissibile per via ereditaria (consid. 2).</w:t>
      </w:r>
    </w:p>
    <w:p>
      <w:pPr>
        <w:pStyle w:val="Heading2"/>
      </w:pPr>
      <w:r>
        <w:t>Erwägungen</w:t>
      </w:r>
    </w:p>
    <w:p>
      <w:r>
        <w:rPr>
          <w:b/>
        </w:rPr>
        <w:t>E. 2.1</w:t>
      </w:r>
    </w:p>
    <w:p>
      <w:r>
        <w:t>Das Obergericht ging davon aus, das letztmals 1994 erneuerte Kaufsrecht habe nicht zu einer übermässigen Bindung von B. geführt, weshalb eine Verletzung von Art. 27 Abs. 2 ZGB zu verneinen sei. Die Beklagten rügen, das Obergericht habe verkannt, dass die Kaufsrechtsverpflichtung nichtig sei, da sie bei einer Gesamtwürdigung der Umstände die Freiheit von B. übermässig beschränkt und damit gegen Art. 27 Abs. 2 ZGB verstossen habe. Die Beklagten könnten sich daher auf die Ungültigkeit der Kaufsrechtsklausel berufen. Der Kläger wendet dem Sinne nach ein, der Schutz gemäss Art. 27 Abs. 2 ZGB vor übermässigen Bindungen könne nur von der Person geltend gemacht werden, deren Persönlichkeitsrecht dadurch geschützt wird. Der Anspruch auf diesen Schutz sei als höchstpersönliches Recht unvererblich. Er könne von den Erben - gleich wie BGE 129 III 209 S. 213 bei Genugtuungsansprüchen - nur geltend gemacht werden, soweit er beim Ableben der zu schützenden Partei anerkannt oder eingeklagt worden sei. Da B. nie eine übermässige Bindung geltend gemacht habe, sei es seinen Erben verwehrt, dies an seiner Stelle zu tun.</w:t>
      </w:r>
    </w:p>
    <w:p>
      <w:r>
        <w:rPr>
          <w:b/>
        </w:rPr>
        <w:t>E. 2.2</w:t>
      </w:r>
    </w:p>
    <w:p>
      <w:r>
        <w:t>Von den gesetzlichen Vorschriften abweichende Vereinbarungen sind nur zulässig, wo das Gesetz nicht eine unabänderliche Vorschrift aufstellt oder die Abweichung nicht einen Verstoss gegen die öffentliche Ordnung, gegen die guten Sitten oder gegen das Recht der Persönlichkeit in sich schliesst ( Art. 19 Abs. 2 OR ). Ein Vertrag, der einen unmöglichen oder widerrechtlichen Inhalt hat oder gegen die guten Sitten verstösst, ist gemäss Art. 20 Abs. 1 OR nichtig. Der gesetzlich nicht definierte Begriff der Nichtigkeit wird traditionell als ursprüngliche Unwirksamkeit verstanden, welche von Amtes wegen zu beachten ist ( BGE 97 II 108 E. 4 S. 115; BGE 110 II 360 E. 4 S. 368; BGE 123 III 60 E. 3b; HUGUENIN JACOBS, Basler Kommentar, 2. Aufl., N. 53 zu Art. 19/20 OR, mit weiteren Hinweisen; vgl. für das öffentliche Recht BGE 115 Ia 1 E. 3 S. 4 mit Hinweisen). Nach der Rechtsprechung des Bundesgerichts und der herrschenden Lehre ist Art. 20 OR insoweit einschränkend auszulegen, als gegen zwingendes Recht verstossende Verträge nur nichtig sind, wenn diese Rechtsfolge ausdrücklich gesetzlich vorgesehen ist oder sich aus dem Sinn und Zweck der verletzten Norm ergibt ( BGE 119 II 222 E. 2; HUGUENIN JACOBS, a.a.O., N. 54 zu Art. 19/20 OR, je mit Hinweisen). Art. 27 Abs. 2 ZGB statuiert zum Schutz der Persönlichkeit vor übermässiger Bindung (vgl. Marginalie), dass sich niemand seiner Freiheit entäussern oder sich in ihrem Gebrauch in einem das Recht oder die Sittlichkeit verletzenden Grade beschränken kann. Das Bundesgericht ging davon aus, eine gemäss Art. 27 Abs. 2 ZGB übermässige Bindung verstosse gegen die guten Sitten und sei damit gemäss Art. 20 OR als nichtig oder teilnichtig zu qualifizieren ( BGE 84 II 355 E. 3 S. 366 f.; BGE 106 II 369 E. 4 S. 379; 112 II 433 E. 3 S. 436; BGE 114 II 159 E. 2c; BGE 120 II 35 E. 4a S. 40 f.). In der Literatur wird demgegenüber angenommen, ein Verstoss gegen die von Amtes wegen zu beachtenden guten Sitten sei nur soweit anzunehmen, als ein Vertrag den höchstpersönlichen Kernbereich einer Person betreffe, welcher jeder vertraglichen Verpflichtung entzogen sein soll. Soweit eine Bindung an sich zulässig und nur das Mass der Bindung als übermässig zu qualifizieren sei, liege kein Verstoss gegen die guten Sitten, sondern alleine ein Verstoss gegen das Recht der Persönlichkeit vor (BUCHER, Berner Kommentar, N. 114 ff. und N. 127 zu BGE 129 III 209 S. 214 Art. 27 ZGB ; KRAMER, Berner Kommentar, N. 212 ff. und N. 374 zu Art. 19 und 20 OR ; a.M. GAUCH/SCHLUEP/SCHMID/REY, Schweizerisches Obligationenrecht, Allgemeiner Teil, Bd. I., 7. Aufl., S. 125 f. Rz. 658-661, die jedoch ebenfalls zwischen dem Gegenstand und dem Übermass der Bindung unterscheiden). Die bloss übermässige Bindung solle gemäss dem Zweck von Art. 27 Abs. 2 ZGB , die individuelle Freiheit einer Person zu schützen, nur zur Unverbindlichkeit des Vertrages führen, wenn die betroffene Person den Schutz in Anspruch nehme und sich von der Bindung lösen möchte (BUCHER, Berner Kommentar, N. 127 zu Art. 27 ZGB ; im Ergebnis ebenso KRAMER, Berner Kommentar, N. 371 ff. zu Art. 19 und 20 OR ; HUGUENIN JACOBS, Basler Kommentar, N. 21 zu Art. 27 ZGB ; BRÜCKNER, Das Personenrecht des ZGB, S. 276 f. Rz. 905 f.; vgl. auch GAUCH/SCHLUEP/SCHMID/REY, a.a.O., S. 133 Rz. 687; TUOR/SCHNYDER/SCHMID/RUMO-JUNGO, Das Schweizerische Zivilgesetzbuch, 12. Aufl., S. 100). Dieser Auffassung, welche gleich wie Art. 19 Abs. 2 OR zwischen einem Verstoss gegen die Persönlichkeit und einem Verstoss gegen die guten Sitten unterscheidet, ist zuzustimmen. Die gegenüber der Nichtigkeit eingeschränkte Rechtsfolge bei bloss übermässigen Bindungen ist gerechtfertigt, da die zu schützende Freiheit einer Person ihr die Möglichkeit belassen soll, im Rahmen der im öffentlichen Interesse zu wahrenden guten Sitten für die Gegenwart auf den Schutz von Art. 27 Abs. 2 ZGB zu verzichten und einen objektiv betrachtet übermässig bindenden Vertrag rechtsgültig zu erfüllen, ohne dass sich die Gegenpartei auf das Übermass der Bindung berufen kann (vgl. Art. 28 Abs. 2 ZGB ; ähnlich schon BGE 106 II 369 E. 4 S. 379). Der Zweck von Art. 27 Abs. 2 ZGB verlangt jedoch, dass die übermässig gebundene Person die Vertragserfüllung verweigern kann (vgl. BGE 108 II 405 E. 3 S. 409). Der Anspruch auf Schutz vor übermässigen Bindungen gemäss Art. 27 Abs. 2 ZGB ist höchstpersönlicher Natur und damit unvererblich (vgl. BGE 104 II 225 E. 5b S. 234 f.). Es steht den Erben daher nicht zu, sich auf eine übermässige Bindung des Erblassers zu berufen, wenn er dies nicht selbst getan hat.</w:t>
      </w:r>
    </w:p>
    <w:p>
      <w:r>
        <w:rPr>
          <w:b/>
        </w:rPr>
        <w:t>E. 2.3</w:t>
      </w:r>
    </w:p>
    <w:p>
      <w:r>
        <w:t>Das dem Kläger eingeräumte Kaufsrecht betrifft ein Verfügungsgeschäft und berührt den Kerngehalt der Persönlichkeit von B. nicht, weshalb - auch wenn insbesondere in zeitlicher Hinsicht eine übermässige Bindung anzunehmen wäre - eine von Amtes wegen zu beachtende Sittenwidrigkeit des Vertrages im Sinne von Art. 20 OR zu verneinen ist. Da B. gemäss den tatsächlichen Feststellungen der Vorinstanz gegenüber dem Kläger nicht zum Ausdruck BGE 129 III 209 S. 215 brachte, dass er das Kaufsrecht als übermässige Bindung empfand und er sich nie davon lösen wollte, können die Beklagten nicht geltend machen, B. sei durch dieses Kaufsrecht übermässig gebunden gewesen. Es kann daher offen bleiben, ob gemäss der Annahme des Obergerichts eine übermässige Bindung von B. zu verneinen sei. Auf die dagegen gerichtete Kritik der Beklagten ist demnach mangels eines genügenden Rechtsschutzinteresses nicht einzutreten. Dass das dem Kläger eingeräumte Kaufsrecht die Beklagten selbst übermässig binde, wird von ihnen nicht geltend gemacht und ist auch nicht ersichtlich. Das Obergericht hat demnach kein Bundesrecht verletzt, wenn es zum Ergebnis kam, Art. 27 Abs. 2 ZGB sei nicht verletzt.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