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181</w:t>
      </w:r>
    </w:p>
    <w:p>
      <w:r>
        <w:t>Bundesgericht (BGE), 2002-10-21, DE</w:t>
      </w:r>
    </w:p>
    <w:p>
      <w:r>
        <w:rPr>
          <w:b/>
        </w:rPr>
        <w:t xml:space="preserve">Quelle: </w:t>
      </w:r>
      <w:r>
        <w:t>https://mcp.opencaselaw.ch/entscheid/bge_BGE_129_III_181</w:t>
      </w:r>
    </w:p>
    <w:p>
      <w:r>
        <w:t>FR: ATF 129 III 181</w:t>
      </w:r>
    </w:p>
    <w:p>
      <w:r>
        <w:t>IT: DTF 129 III 181</w:t>
      </w:r>
    </w:p>
    <w:p>
      <w:pPr>
        <w:pStyle w:val="Heading2"/>
      </w:pPr>
      <w:r>
        <w:t>Regeste</w:t>
      </w:r>
    </w:p>
    <w:p>
      <w:r>
        <w:t>Regeste Gefälligkeitshandlungen ohne Rechtsbindungswillen. Analoge Anwendung von Art. 422 Abs. 1 OR betreffend Schadenersatzpflicht des Geschäftsherrn auf Gefälligkeitshandlungen ohne Geschäftsbindungswille (E. 3 und 4).</w:t>
      </w:r>
    </w:p>
    <w:p>
      <w:r>
        <w:t>Regeste Actes de complaisance effectués sans volonté de s'engager. L'art. 422 al. 1 CO, qui concerne l'obligation du maître de réparer le dommage subi par le gérant dans la gestion d'affaires sans mandat, s'applique par analogie aux actes de complaisance effectués sans volonté de s'engager (consid. 3 et 4).</w:t>
      </w:r>
    </w:p>
    <w:p>
      <w:r>
        <w:t>Regesto Atti di cortesia eseguiti senza la volontà di vincolarsi giuridicamente. Agli atti di cortesia eseguiti senza la volontà di vincolarsi si applica, per analogia, l'art. 422 cpv. 1 CO, riguardante l'obbligo di risarcimento del padrone nell'ambito della gestione d'affari senza mandato (consid. 3 e 4).</w:t>
      </w:r>
    </w:p>
    <w:p>
      <w:pPr>
        <w:pStyle w:val="Heading2"/>
      </w:pPr>
      <w:r>
        <w:t>Erwägungen</w:t>
      </w:r>
    </w:p>
    <w:p>
      <w:r>
        <w:rPr>
          <w:b/>
        </w:rPr>
        <w:t>E. 3</w:t>
      </w:r>
    </w:p>
    <w:p>
      <w:r>
        <w:t>Der Kläger rügt sodann, die Vorinstanz habe den Fall zu Unrecht nicht unter dem Aspekt der vertraglichen Haftpflicht geprüft. Sie habe einerseits übersehen, dass das Bundesgericht in BGE 61 II 95 ff. einen beinahe identischen Fall als Auftrag qualifiziert habe. Anderseits habe sie nicht beachtet, dass es zwischen vertraglicher und quasivertraglicher Haftpflicht gelagerte Fälle gebe, wo dem aus rein altruistischen Motiven Handelnden gestützt auf Art. 422 Abs. 1 OR eine Entschädigung für den bei der Hilfshandlung erlittenen Schaden gewährt werden könne.</w:t>
      </w:r>
    </w:p>
    <w:p>
      <w:r>
        <w:rPr>
          <w:b/>
        </w:rPr>
        <w:t>E. 3.1</w:t>
      </w:r>
    </w:p>
    <w:p>
      <w:r>
        <w:t>Die Vorinstanz hat eine vertragliche Bindung der Parteien unter Verweis auf die Erwägungen des Bezirksgerichts verneint. Dieses ist zum Ergebnis gekommen, die Parteien hätten weder einen Rechtsbindungswillen geäussert noch durch ihr Verhalten zu erkennen gegeben, dass sie einen solchen Willen in Bezug auf die Hilfeleistung des Klägers bei der Umplatzierung des Rundholzes hatten. Im erstinstanzlichen Entscheid wurde die Behauptung des Klägers, seine Hilfeleistung sei Gegenstand einer Vertragspflicht gewesen, gestützt auf dessen eigene Aussagen abgelehnt. Der Kläger hatte bei der Parteieinvernahme ausgesagt, er habe freiwillig geholfen und der Beklagte habe ihm keine Anweisungen erteilt, da er selbst gewusst habe, was zu tun bzw. wie die Leiter zu stellen und die Kette umzulegen sei. Der Beklagte hat sodann nach den Erwägungen des Bezirksgerichts keinen Anlass gehabt, auf einen Rechtsbindungswillen des Klägers zu schliessen; weder habe der Kläger ein eigenes rechtliches oder wirtschaftliches Interesse an der von ihm gewährten Hilfe gehabt noch sei ein Interesse des Beklagten an fachmännischer Beratung und Unterstützung erkennbar. In Würdigung dieses BGE 129 III 181 S. 183 Sachverhalts ist das Bezirksgericht zum Schluss gekommen, zwischen den Parteien habe ein blosses Gefälligkeitsverhältnis bestanden, aus dem keine rechtlichen Verpflichtungen abgeleitet werden könnten.</w:t>
      </w:r>
    </w:p>
    <w:p>
      <w:r>
        <w:rPr>
          <w:b/>
        </w:rPr>
        <w:t>E. 3.2</w:t>
      </w:r>
    </w:p>
    <w:p>
      <w:r>
        <w:t>In BGE 116 II 695 E. 2b/bb ist festgehalten worden, dass auch im Bereich der Arbeitsleistungen unverbindliche Gefälligkeiten vorkommen, die keine Vertragsbindung entstehen lassen und namentlich zu keiner Vertragshaftung des Leistenden bei Nicht- oder Schlechterfüllung führen. Ob Vertrag oder Gefälligkeit vorliegt, entscheidet sich gemäss diesem Urteil nach den Umständen des Einzelfalles, insbesondere der Art der Leistung, ihrem Grund und Zweck, ihrer rechtlichen und wirtschaftlichen Bedeutung, den Umständen, unter denen sie erbracht wird, und der bestehenden Interessenlage der Parteien. Für einen Bindungswillen spricht ein eigenes, rechtliches oder wirtschaftliches Interesse des Leistenden an der gewährten Hilfe oder ein erkennbares Interesse des Begünstigten fachlich qualifiziert beraten oder unterstützt zu werden. An diesen Grundsätzen haben sich auch die kantonalen Gerichte orientiert. Sie haben insbesondere die Art der Arbeitsleistung, das fehlende wirtschaftliche Interesse des Klägers sowie das mangelnde Interesse des Beklagten an fachkundiger Unterstützung berücksichtigt und haben auf dieser Grundlage einen Rechtsbindungswillen der Parteien verneint. Sie haben die Umstände zutreffend gewürdigt und die massgebenden Grundsätze richtig angewandt. Insoweit liegt keine Verletzung von Bundesrecht vor.</w:t>
      </w:r>
    </w:p>
    <w:p>
      <w:r>
        <w:rPr>
          <w:b/>
        </w:rPr>
        <w:t>E. 3.3</w:t>
      </w:r>
    </w:p>
    <w:p>
      <w:r>
        <w:t>Mit einer gewissen Berechtigung beruft sich der Kläger auf BGE 61 II 95 . In jenem Fall hatte ein Bauer seinen Nachbar gebeten, für ihn auf einen Birnbaum zu steigen und diesen zu schütteln. Dabei brach der Ast, auf welchem der Nachbar stand, und dieser zog sich durch den Sturz schwere Verletzungen zu. Das Bundesgericht ist damals vom Bestehen vertraglicher Bindungen ausgegangen, wobei lediglich streitig war, ob es sich um einen entgeltlichen oder einen unentgeltlichen Auftrag handelte. Für den zweiten Fall betrachtete das Bundesgericht Art. 422 Abs. 1 OR als anwendbar, wonach der Geschäftsherr nach gerichtlichem Ermessen für Schaden des Geschäftsführers haften soll. Damit hielt das Bundesgericht an einem früheren Urteil fest, wo ausgeführt worden war, dass in Bezug auf die gesetzliche Regelung des unentgeltlichen Auftrags ein durch den Richter zu korrigierendes Versehen des Gesetzgebers vorliege. Das Bundesgericht wies darauf hin, dass die gleiche Interessenlage die gleiche rechtliche Behandlung erheische. Der Regelung von Art. 422 Abs. 1 OR liege das Prinzip zu Grunde, dass niemandem BGE 129 III 181 S. 184 die Erfüllung einer Pflicht, die er altruistisch und nicht eigenen Vorteils wegen übernommen hat, nachteilig sein soll ( BGE 48 II 487 E. 3). Dass dieses Prinzip auch bei der Beurteilung von Gefälligkeitshandlungen ohne Rechtsbindungswillen gelten sollte, leuchtet aus Gründen rechtlicher Gleichbehandlung ohne weiteres ein. Im Folgenden ist deshalb zu prüfen, ob die Regel von Art. 422 Abs. 1 OR betreffend Schadenersatzpflicht des Geschäftsherrn analog auf solche Gefälligkeitsverhältnisse angewendet werden kann.</w:t>
      </w:r>
    </w:p>
    <w:p>
      <w:r>
        <w:rPr>
          <w:b/>
        </w:rPr>
        <w:t>E. 4.1</w:t>
      </w:r>
    </w:p>
    <w:p>
      <w:r>
        <w:t>Art. 422 Abs. 1 OR bestimmt für die - fremdnützige, echte - Geschäftsführung, dass der Geschäftsherr verpflichtet ist, den Schaden, welchen der Geschäftsführer durch die Geschäftsbesorgung erleidet, nach Ermessen des Richters zu ersetzen. Der Schadenersatzanspruch nach dieser Bestimmung setzt kein Verschulden des Geschäftsherrn voraus. Es handelt sich um eine Kausalhaftung, weshalb ausreicht, dass der Geschäftsführer im Rahmen der Geschäftsbesorgung und damit im Interesse des Geschäftsherrn tätig geworden ist; insbesondere wird nicht vorausgesetzt, dass das Verhalten des Geschäftsherrn für den Eintritt des Schadens ursächlich war (SCHMID, Die Geschäftsführung ohne Auftrag, Freiburg 1992, Rz. 510). Indes wird in Lehre und Rechtsprechung zutreffend darauf hingewiesen, dass nicht nur das Handeln im Interesse eines anderen den Haftungsgrund bildet, sondern gegebenenfalls auch der Umstand, dass sich der Geschäftsführer dabei in Gefahr begibt (WEBER, Basler Kommentar, Obligationenrecht I, 2. Aufl., N. 11 zu Art. 422 OR ; URS LISCHER, Die Geschäftsführung ohne Auftrag im schweizerischen Recht, Diss. Basel 1990, S. 90; JÖRG H. RÖSLER, Haftpflicht für Schäden aus Hilfeleistung, Diss. Bern 1981, S. 63; BGE 48 II 487 E. 3 S. 491 f.). In diesem Sinne enthält Art. 422 Abs. 1 OR auch das Element einer Risikohaftung. Diese beruht auf dem sowohl vertraglich wie ausservertraglich gültigen Prinzip, dass das Risiko schadensgeneigter, gefährlicher Tätigkeit von jenem zu tragen ist, in dessen Interesse und zu dessen Nutzen sie ausgeführt wird (HONSELL, Die Risikohaftung des Geschäftsherrn, Festgabe für Ulrich von Lübtow, Berlin 1980, S. 485 ff., S. 496 ff.; CANARIS, Risikohaftung bei schadensgeneigter Tätigkeit in fremdem Interesse, in: Recht der Arbeit, 1966, S. 41 ff., insbes. S. 43). Insoweit rechtfertigt sich auch die analoge Anwendung von Art. 422 Abs. 1 OR auf die Fälle von Gefälligkeitshandlungen ohne Rechtsbindungswillen. Die Haftung greift allerdings nur dann, wenn sich das der gefährlichen Tätigkeit immanente Risiko verwirklicht. Nicht BGE 129 III 181 S. 185 davon erfasst werden so genannte Zufallsschäden. Deshalb ist eine Haftung zu verneinen, falls sich nicht das besondere Tätigkeitsrisiko, sondern das allgemeine Lebensrisiko verwirklicht hat (CANARIS, a.a.O., S. 43).</w:t>
      </w:r>
    </w:p>
    <w:p>
      <w:r>
        <w:rPr>
          <w:b/>
        </w:rPr>
        <w:t>E. 4.2</w:t>
      </w:r>
    </w:p>
    <w:p>
      <w:r>
        <w:t>Art. 422 Abs. 1 OR sieht neben dem Ersatz des Schadens auch Auslagenersatz und die Befreiung von übernommenen Verbindlichkeiten vor. Diese beiden Ansprüche fallen bei Gefälligkeitshandlungen ohne Rechtsbindungswillen ausser Betracht. Es gilt hier das Gleiche wie im Fall des Geschäftsführers mit Schenkungswillen, wo die Liberalitätsabsicht die erwähnten Ansprüche ausschliesst (SCHMID, Die Geschäftsführung, Rz. 573 ff., insbes. Rz. 585-589; BUCHER, Obligationenrecht Besonderer Teil, 3. Aufl., S. 258).</w:t>
      </w:r>
    </w:p>
    <w:p>
      <w:r>
        <w:rPr>
          <w:b/>
        </w:rPr>
        <w:t>E. 4.3</w:t>
      </w:r>
    </w:p>
    <w:p>
      <w:r>
        <w:t>Im vorliegenden Fall ist somit nach Ermessen des Gerichts zu entscheiden, ob und in welcher Höhe dem Kläger Schadenersatz zuzusprechen ist. Das bedeutet gemäss Art. 4 ZGB , dass alle erheblichen Umstände des Einzelfalles zu berücksichtigen sind. In der Lehre erwähnt werden etwa die Art der auf dem Spiele stehenden Interessen, das Verhältnis der mit der Tätigkeit zu wahrenden Werte zum erkennbaren Risiko, ein allenfalls von einer der Parteien zu vertretendes Gefährdungspotential und deren Vermögenslage (SCHMID, Zürcher Kommentar, N. 56 f. zu Art. 422 OR ; derselbe, Die Geschäftsführung, Rz. 513 ff.; HONSELL, a.a.O., S. 500; HOFSTETTER, Der Auftrag und die Geschäftsführung ohne Auftrag, in: Schweizerisches Privatrecht, Bd. VII/6, Basel 2000, S. 265).</w:t>
      </w:r>
    </w:p>
    <w:p>
      <w:r>
        <w:rPr>
          <w:b/>
        </w:rPr>
        <w:t>E. 4.4</w:t>
      </w:r>
    </w:p>
    <w:p>
      <w:r>
        <w:t>Die Vorinstanz hat sich nicht zur Frage des Schadenersatzanspruchs im dargelegten Sinne geäussert. Zudem fehlen Sachverhaltsfeststellungen, die es dem Bundesgericht erlauben würden, selbst über die Frage zu entscheiden. Unter diesen Umständen ist das angefochtene Urteil in Gutheissung der Berufung aufzuheben und die Sache in Anwendung von Art. 64 OG an die Vorinstanz zurückzuweisen zur Neubeurteilung im Sinne der vorangehenden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