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70</w:t>
      </w:r>
    </w:p>
    <w:p>
      <w:r>
        <w:t>Bundesgericht (BGE), 2002-01-01, DE</w:t>
      </w:r>
    </w:p>
    <w:p>
      <w:r>
        <w:rPr>
          <w:b/>
        </w:rPr>
        <w:t xml:space="preserve">Quelle: </w:t>
      </w:r>
      <w:r>
        <w:t>https://mcp.opencaselaw.ch/entscheid/bge_BGE_128_V_70</w:t>
      </w:r>
    </w:p>
    <w:p>
      <w:r>
        <w:t>FR: ATF 128 V 70</w:t>
      </w:r>
    </w:p>
    <w:p>
      <w:r>
        <w:t>IT: DTF 128 V 70</w:t>
      </w:r>
    </w:p>
    <w:p>
      <w:pPr>
        <w:pStyle w:val="Heading2"/>
      </w:pPr>
      <w:r>
        <w:t>Regeste</w:t>
      </w:r>
    </w:p>
    <w:p>
      <w:r>
        <w:t>Regeste Art. 31 Abs. 1 lit. b KVG; Art. 18 lit. c Ziff. 7 KLV: Gebisssanierung nach einer schweren psychischen Krankheit. Eine Leistungspflicht für eine Beeinträchtigung der Kaufunktion bei schwer psychisch Kranken zufolge Unterbleibens genügender Mundhygiene kann nur bejaht werden, wenn die genügende Mundhygiene aus Gründen der psychischen Krankheit verunmöglicht war.</w:t>
      </w:r>
    </w:p>
    <w:p>
      <w:r>
        <w:t>Regeste Art. 31 al. 1 let. b LAMal; art. 18 let. c ch. 7 OPAS: Assainissement dentaire après une maladie psychique grave. L'atteinte de la fonction masticatoire résultant, en cas de maladie psychique grave, d'une hygiène buccale insuffisante ne donne lieu à prestation que si la maladie psychique rendait impossible une hygiène buccale suffisante.</w:t>
      </w:r>
    </w:p>
    <w:p>
      <w:r>
        <w:t>Regesto Art. 31 cpv. 1 lett. b LAMal; art. 18 lett. c cifra 7 OPre: Risanamento dentario dopo una malattia psichica grave. La lesione della funzione masticatoria riconducibile, nel caso di una malattia psichica grave, a insufficiente igiene boccale giustifica il riconoscimento di prestazioni assicurative soltanto nella misura in cui simile insufficiente igiene sia stata determinata dalla malattia psichica medesima.</w:t>
      </w:r>
    </w:p>
    <w:p>
      <w:pPr>
        <w:pStyle w:val="Heading2"/>
      </w:pPr>
      <w:r>
        <w:t>Erwägungen</w:t>
      </w:r>
    </w:p>
    <w:p>
      <w:r>
        <w:rPr>
          <w:b/>
        </w:rPr>
        <w:t>E. 4</w:t>
      </w:r>
    </w:p>
    <w:p>
      <w:r>
        <w:t>Gemäss Art. 31 Abs. 1 lit. b KVG in Verbindung mit Art. 18 lit. c Ziff. 7 KLV übernimmt die Versicherung die Kosten der zahnärztlichen Behandlungen, die durch eine schwere psychische Erkrankung mit konsekutiver schwerer Beeinträchtigung der Kaufunktion oder ihre Folge bedingt und zur Behandlung des Leidens notwendig sind. a) Art. 31 Abs.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Amtl.Bull. 1992 S 1301 f.; Amtl.Bull.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 in: LAMal-KVG, Recueil de travaux en l'honneur de la Société suisse de droit des assurances, Lausanne 1997, S. 239 f.). Dieser Auslegung liegt somit der Gedanke zu BGE 128 V 70 S. 71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BGE 128 V 62 Erw. 4a).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EUGSTER, a.a.O., S. 251; BGE 128 V 63 Erw. 4b).</w:t>
      </w:r>
    </w:p>
    <w:p>
      <w:r>
        <w:rPr>
          <w:b/>
        </w:rPr>
        <w:t>E. 5</w:t>
      </w:r>
    </w:p>
    <w:p>
      <w:r>
        <w:t>a) Der Beschwerdegegner, unterstützt durch den ihn behandelnden Zahnarzt Dr. med. dent. F.,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BGE 128 V 70 S. 72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aufrechtzuerhalten.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ausgewiesen. Weshalb er nicht in der Lage gewesen sein soll, die 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 in seinem Schreiben an die Krankenversicherung vom 16. November 1996 damit argumentiert, der Beschwerdegegner sei nicht mehr in der Lage gewesen, ihn, den Psychiater, und den Zahnarzt aufzusuchen, wohingegen er in seinem Schreiben an die Vorinstanz vom 13. August 1997 ausgeführt BGE 128 V 70 S. 73 hat, die psychiatrische Behandlung sei seit Mai 1989 (Zeitpunkt des Erhalts der Invalidenrente)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w:t>
      </w:r>
    </w:p>
    <w:p>
      <w:r>
        <w:rPr>
          <w:b/>
        </w:rPr>
        <w:t>E. 6</w:t>
      </w:r>
    </w:p>
    <w:p>
      <w:r>
        <w:t>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