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323</w:t>
      </w:r>
    </w:p>
    <w:p>
      <w:r>
        <w:t>Bundesgericht (BGE), 2002-01-01, DE</w:t>
      </w:r>
    </w:p>
    <w:p>
      <w:r>
        <w:rPr>
          <w:b/>
        </w:rPr>
        <w:t xml:space="preserve">Quelle: </w:t>
      </w:r>
      <w:r>
        <w:t>https://mcp.opencaselaw.ch/entscheid/bge_BGE_128_V_323</w:t>
      </w:r>
    </w:p>
    <w:p>
      <w:r>
        <w:t>FR: ATF 128 V 323</w:t>
      </w:r>
    </w:p>
    <w:p>
      <w:r>
        <w:t>IT: DTF 128 V 323</w:t>
      </w:r>
    </w:p>
    <w:p>
      <w:pPr>
        <w:pStyle w:val="Heading2"/>
      </w:pPr>
      <w:r>
        <w:t>Regeste</w:t>
      </w:r>
    </w:p>
    <w:p>
      <w:r>
        <w:t>Regeste Art. 73 Abs. 2 BVG: Parteientschädigung an obsiegende Sozialversicherungsträger. Im kantonalen Verfahren obsiegende Sozialversicherer, die anwaltlich oder sonst wie qualifiziert vertreten sind, haben Anspruch auf Parteientschädigung, wenn die Prozessführung der Gegenpartei als mutwillig oder leichtsinnig zu bezeichnen ist. Fehlt eine solche Vertretung, müssen zusätzlich zu Mutwilligkeit oder Leichtsinn die Voraussetzungen für die Parteientschädigungsberechtigung einer unvertretenen Partei erfüllt sein.</w:t>
      </w:r>
    </w:p>
    <w:p>
      <w:r>
        <w:t>Regeste Art. 73 al. 2 LPP: Droit aux dépens des assureurs sociaux qui obtiennent gain de cause.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 liée à la témérité ou la légèreté.</w:t>
      </w:r>
    </w:p>
    <w:p>
      <w:r>
        <w:t>Regesto Art. 73 cpv. 2 LPP: Diritto alle ripetibili degli assicuratori sociali vincenti in causa. Gli assicuratori sociali, vincenti in causa nella procedura cantonale e patrocinati da un avvocato oppure, in altro modo, da una persona qualificata, hanno diritto alle ripetibili se il comportamento processuale della controparte si dimostra temerario o quest'ultima abbia agito con leggerezza. In assenza di una tale rappresentanza, devono, in aggiunta alla temerarietà e alla leggerezza, essere realizzate le ulteriori condizioni stabilite per l'assegnazione di ripetibili ad una parte non patrocinata.</w:t>
      </w:r>
    </w:p>
    <w:p>
      <w:pPr>
        <w:pStyle w:val="Heading2"/>
      </w:pPr>
      <w:r>
        <w:t>Erwägungen</w:t>
      </w:r>
    </w:p>
    <w:p>
      <w:r>
        <w:rPr>
          <w:b/>
        </w:rPr>
        <w:t>E. 1</w:t>
      </w:r>
    </w:p>
    <w:p>
      <w:r>
        <w:t>a) Die bundesrechtliche Minimalanforderung der Kostenlosigkeit des Verfahrens nach Art. 73 Abs. 2 BVG steht unter dem Vorbehalt des allgemeinen sozialversicherungsrechtlichen Verfahrensgrundsatzes, dass die Partei nicht in Mutwilligkeit oder Leichtsinn verfallen ist ( BGE 118 V 316 und seitherige ständige Rechtsprechung; vgl. BGE 126 V 149 Erw. 4a, BGE 124 V 287 Erw. 3a). Die Bejahung einer mutwilligen oder leichtsinnigen Prozessführung führt nicht nur zur Pflicht, die Verfahrenskosten zu tragen ( BGE 118 V 316 ), sondern begründet auch die Pflicht, die obsiegende Vorsorgeeinrichtung, soweit anwaltlich vertreten, zu entschädigen, vorausgesetzt es finde sich im kantonalen Verfahrensrecht für einen solchen Parteientschädigungsanspruch die erforderliche gesetzliche BGE 128 V 323 S. 324 Grundlage ( BGE 126 V 143 ). Soweit eine Vorsorgeeinrichtung nicht anwaltlich (oder sonst wie qualifiziert, d.h. im Rahmen eines den Ersatz der Verbeiständungskosten begründenden Mandatsverhältnisses mit einer Fachperson) vertreten ist, müssen zusätzlich zu Mutwilligkeit oder Leichtsinn die für die Parteientschädigungsberechtigung massgeblichen Kriterien im Falle einer nicht vertretenen Partei erfüllt sein ( BGE 127 V 205 ). b) 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(SZS 1999 S. 69 Erw. 6b). Leichtsinnige oder mutwillige Prozessführung liegt aber so lange nicht vor, als es der Partei darum geht, einen bestimmten, nicht als willkürlich erscheinenden Standpunkt durch den Richter beurteilen zu lassen. Dies gilt auch dann, wenn der Richter die Partei im Laufe des Verfahrens von der Unrichtigkeit ihres Standpunktes überzeugen und zu einem entsprechenden Verhalten (Beschwerde- oder Klagerückzug) veranlassen will ( BGE 112 V 334 Erw. 5a mit Hinweisen).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 BGE 124 V 288 Erw. 3b). Mutwillige Prozessführung kann ferner darin begründet liegen, dass eine Partei eine ihr in dieser Eigenschaft obliegende Pflicht (Mitwirkungs- oder Unterlassungspflicht) verletzt. Der Verzicht, trotz gerichtlicher Mahnung, zu den Vorbringen in einer Klageschrift Stellung zu beziehen, vermag den Vorwurf der Mutwilligkeit allerdings nicht zu begründen ( BGE 124 V 288 Erw.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