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174</w:t>
      </w:r>
    </w:p>
    <w:p>
      <w:r>
        <w:t>Bundesgericht (BGE), 2002-01-01, IT</w:t>
      </w:r>
    </w:p>
    <w:p>
      <w:r>
        <w:rPr>
          <w:b/>
        </w:rPr>
        <w:t xml:space="preserve">Quelle: </w:t>
      </w:r>
      <w:r>
        <w:t>https://mcp.opencaselaw.ch/entscheid/bge_BGE_128_V_174</w:t>
      </w:r>
    </w:p>
    <w:p>
      <w:r>
        <w:t>FR: ATF 128 V 174</w:t>
      </w:r>
    </w:p>
    <w:p>
      <w:r>
        <w:t>IT: DTF 128 V 174</w:t>
      </w:r>
    </w:p>
    <w:p>
      <w:pPr>
        <w:pStyle w:val="Heading2"/>
      </w:pPr>
      <w:r>
        <w:t>Regeste</w:t>
      </w:r>
    </w:p>
    <w:p>
      <w:r>
        <w:t>Regeste Art. 18 Abs. 2 UVG: Invaliditätsbemessung. Für die in Art. 18 Abs. 2 UVG vorgesehene Gegenüberstellung sind die hypothetischen Erwerbseinkommen im Zeitpunkt des Beginns eines allfälligen Rentenanspruchs und nicht des Einspracheentscheids massgebend. Bevor der Unfallversicherer über einen Leistungsanspruch befindet, muss er indessen prüfen, ob allenfalls in der dem Rentenbeginn folgenden Zeit eine erhebliche Veränderung der hypothetischen Bezugsgrössen eingetreten ist. Gegebenenfalls hat er vor seinem Entscheid einen weiteren Einkommensvergleich durchzuführen.</w:t>
      </w:r>
    </w:p>
    <w:p>
      <w:r>
        <w:t>Regeste Art. 18 al. 2 LAA: Évaluation de l'invalidité.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w:t>
      </w:r>
    </w:p>
    <w:p>
      <w:r>
        <w:t>Regesto Art. 18 cpv. 2 LAINF: Valutazione dell'invalidità. Per il raffronto dei redditi ipotetici di cui all'art. 18 cpv. 2 LAINF fa stato il momento dell'inizio dell'eventuale diritto alla rendita e non già quello della decisione su opposizione. L'assicuratore infortuni è comunque tenuto, prima di pronunciarsi sul diritto a una prestazione, a esaminare se nel periodo successivo all'inizio di tale diritto non sia eventualmente subentrata una modifica di rilievo dei dati ipotetici di riferimento. In questa eventualità, esso dovrà procedere ad un ulteriore raffronto dei redditi prima di decidere.</w:t>
      </w:r>
    </w:p>
    <w:p>
      <w:pPr>
        <w:pStyle w:val="Heading2"/>
      </w:pPr>
      <w:r>
        <w:t>Erwägungen</w:t>
      </w:r>
    </w:p>
    <w:p>
      <w:r>
        <w:rPr>
          <w:b/>
        </w:rPr>
        <w:t>E. 4</w:t>
      </w:r>
    </w:p>
    <w:p>
      <w:r>
        <w:t>a) L'autorità cantonale nel giudizio impugnato ha stabilito che la data determinante per la commisurazione del diritto alla rendita dell'assicurato era il 1997, anno in cui venne emanata la decisione su opposizione in lite. Tale opinione si fonda sulla giurisprudenza resa in DTF 116 V 248 consid. 1a in cui si afferma che il giudice delle assicurazioni sociali valuta la legalità dei provvedimenti su opposizione impugnati in base alla situazione di fatto esistente al momento in cui essi sono stati emessi. Di diverso parere è l'assicuratore infortuni, il quale asserisce che decisivo per il confronto dei redditi ipotetici di cui all' art. 18 cpv. 2 LAINF deve BGE 128 V 174 S. 175 essere il momento dell'inizio del diritto alla rendita. Simile tesi è sostenuta pure da PETER OMLIN (Die Invalidität in der obligatorischen Unfallversicherung mit besonderer Berücksichtigung der älteren Arbeitnehmerinnen und Arbeitnehmer, tesi Friborgo 1995, pag. 291), che fa riferimento a una sentenza di questa Corte 20 marzo 1991 in re P. (U 80/90). Orbene, il Tribunale federale delle assicurazioni si è esplicitamente chinato sul tema del momento determinante per il raffronto dei redditi in due recentissime sentenze del 18 marzo 2002 in re K. (U 239/00) e del 19 febbraio 2002 in re C. (U 99/00). Esso ha in quelle occasioni optato per il momento dell'inizio del diritto a rendita, e ciò con riferimento a OMLIN e alla giurisprudenza che questi cita. Ora, la Corte non vede, nel caso in esame, nessuna ragione per scostarsi da questo punto di vista. Nella misura in cui in sentenze successive a quella del 20 marzo 1991 il Tribunale federale delle assicurazioni dovesse essere pervenuto a conclusioni diverse, ad esse non deve essere prestata adesione. La tesi opposta, ripresa dall'autorità cantonale, di ritenere determinante il momento della decisione su opposizione, condurrebbe a risultati aleatori, l'esito della valutazione da operare essendo suscettibile di variare a dipendenza del momento, casuale, in cui l'amministrazione statuisce. In particolare, si giungerebbe a risultati dissimili già a seconda del fatto che venga resa o meno una decisione su opposizione: nel primo caso farebbe stato il momento del provvedimento su opposizione, nel secondo quello dell'atto amministrativo iniziale. Ciò posto, è utile ancora aggiungere - anche se può sembrare logico - che in ogni caso devono sempre essere ritenuti i dati relativi allo stesso anno. L'amministrazione è inoltre tenuta, prima di pronunciarsi sul diritto a una rendita, a esaminare se nel periodo successivo all'inizio di tale diritto non sia eventualmente subentrata una modifica di rilievo dei dati ipotetici di riferimento. In questa eventualità, essa dovrà procedere ad un ulteriore raffronto dei redditi prima di decidere.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