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149</w:t>
      </w:r>
    </w:p>
    <w:p>
      <w:r>
        <w:t>Bundesgericht (BGE), 2002-01-01, DE</w:t>
      </w:r>
    </w:p>
    <w:p>
      <w:r>
        <w:rPr>
          <w:b/>
        </w:rPr>
        <w:t xml:space="preserve">Quelle: </w:t>
      </w:r>
      <w:r>
        <w:t>https://mcp.opencaselaw.ch/entscheid/bge_BGE_128_V_149</w:t>
      </w:r>
    </w:p>
    <w:p>
      <w:r>
        <w:t>FR: ATF 128 V 149</w:t>
      </w:r>
    </w:p>
    <w:p>
      <w:r>
        <w:t>IT: DTF 128 V 149</w:t>
      </w:r>
    </w:p>
    <w:p>
      <w:pPr>
        <w:pStyle w:val="Heading2"/>
      </w:pPr>
      <w:r>
        <w:t>Regeste</w:t>
      </w:r>
    </w:p>
    <w:p>
      <w:r>
        <w:t>Regeste Art. 73 Abs. 2 KVG; Art. 28 Abs. 2 AVIG: Umwandlung einer KVG-Taggeldversicherung bei Arbeitslosigkeit. Art. 28 Abs. 2 AVIG statuiert den subsidiären Charakter der Leistungspflicht der Arbeitslosenversicherung. Art. 73 Abs. 2 KVG räumt einen uneingeschränkten Anspruch auf Umwandlung einer bestehenden Taggeldversicherung ein. Art. 78 Abs. 2 KVG; Art. 122 KVV: Bemessung der Überentschädigung. Eine Kürzung von Sozialversicherungsleistungen soll vermieden werden, solange die versicherte Person Kosten oder Einbussen im Sinne von Art. 122 Abs. 2 KVV zu tragen hat. Wie im Unfallversicherungsbereich ist für die Bemessung der Überentschädigung auf die gesamte Abrechnungsperiode abzustellen und - wie schon unter dem KUVG - eine Globalrechnung vorzunehmen.</w:t>
      </w:r>
    </w:p>
    <w:p>
      <w:r>
        <w:t>Regeste Art. 73 al. 2 LAMal; art. 28 al. 2 LACI: Transformation d'une assurance d'indemnités journalières selon la LAMal en cas de chômage. Conformément à l'art. 28 al. 2 LACI, les prestations de l'assurance-chômage ont un caractère subsidiaire. L'art. 73 al. 2 LAMal institue un droit inconditionnel à la transformation d'une assurance d'indemnités journalières. Art. 78 al. 2 LAMal; art. 122 OAMal: Calcul de la surindemnisation. Une réduction des prestations d'assurance sociale doit être évitée tant que la personne assurée supporte des frais ou des pertes au sens de l'art. 122 al. 2 OAMal. Comme dans le domaine de l'assurance-accidents, le calcul de surindemnisation doit porter sur toute la période de décompte et - comme déjà sous l'empire de la LAMA - reposer sur un compte global.</w:t>
      </w:r>
    </w:p>
    <w:p>
      <w:r>
        <w:t>Regesto Art. 73 cpv. 2 LAMal; art. 28 cpv. 2 LADI: Trasformazione di una assicurazione d'indennità giornaliera secondo la LAMal in caso di disoccupazione. L'art. 28 cpv. 2 LADI stabilisce il carattere sussidiario dell'obbligo prestativo dell'assicurazione contro la disoccupazione. L'art. 73 cpv. 2 LAMal istituisce un diritto senza restrizioni alla trasformazione di una assicurazione d'indennità giornaliera esistente. Art. 78 cpv. 2 LAMal; art. 122 OAMal: Calcolo del sovrindennizzo. Una riduzione delle prestazioni di assicurazioni sociali deve essere evitata fintanto che la persona assicurata assume a carico delle spese o delle perdite ai sensi dell'art. 122 cpv. 2 OAMal. Come nel campo dell'assicurazione contro gli infortuni, il calcolo del sovrindennizzo deve vertere sull'intero periodo di conteggio e - come già sotto l'egida della LAMI - poggiare su un computo globale.</w:t>
      </w:r>
    </w:p>
    <w:p>
      <w:pPr>
        <w:pStyle w:val="Heading2"/>
      </w:pPr>
      <w:r>
        <w:t>Erwägungen</w:t>
      </w:r>
    </w:p>
    <w:p>
      <w:r>
        <w:rPr>
          <w:b/>
        </w:rPr>
        <w:t>E. 1</w:t>
      </w:r>
    </w:p>
    <w:p>
      <w:r>
        <w:t>Nachdem die Vorinstanz in ihrem Entscheid vom 27. Januar 1999 die Beschwerdeführerin bereits dazu verhalten hat, dem Beschwerdegegner per 1. Januar 1998 den Übertritt in die Einzeltaggeldversicherung mit einem Taggeld von Fr. 133.65 zu gewähren, ist vorliegend noch der konkrete Leistungsanspruch des Beschwerdegegners aus dieser Versicherung streitig. Im Einzelnen geht es um den Umfang der Versicherungsdeckung, die Methode der Überentschädigungsberechnung und die Frage des Einbezugs von Kinderzulagen in den versicherten Verdienst.</w:t>
      </w:r>
    </w:p>
    <w:p>
      <w:r>
        <w:rPr>
          <w:b/>
        </w:rPr>
        <w:t>E. 2</w:t>
      </w:r>
    </w:p>
    <w:p>
      <w:r>
        <w:t>a) Nach Art. 67 Abs. 1 KVG kann, wer in der Schweiz Wohnsitz hat oder erwerbstätig ist und das 15., aber noch nicht das 65. Altersjahr zurückgelegt hat, bei einem Versicherer gemäss Art. 68 KVG eine Taggeldversicherung abschliessen. Die Versicherer sind verpflichtet, in ihrem örtlichen Tätigkeitsbereich jede zum Beitritt berechtigte Person aufzunehmen ( Art. 68 Abs. 1 KVG ). Das versicherte Taggeld wird vom Versicherer mit dem Versicherungsnehmer vereinbart ( Art. 72 Abs. 1 KVG ). Das Gesetz enthält in Art. 72 KVG zwingende Bestimmungen insbesondere zum Anspruchsbeginn (Abs. 2), zur Dauer des Anspruchs (Abs. 3) sowie zur Kürzung der Leistung bei teilweiser Arbeitsunfähigkeit (Abs. 4) BGE 128 V 149 S. 152 und bei Überentschädigung (Abs. 5). Der Taggeldanspruch entsteht, wenn die versicherte Person mindestens zur Hälfte arbeitsunfähig ist. Ist nichts anderes vereinbart, so entsteht der Anspruch am dritten Tag nach der Erkrankung. Der Leistungsbeginn kann gegen eine entsprechende Herabsetzung der Prämie aufgeschoben werden. Die Definition der Arbeitsunfähigkeit ist im KVG die gleiche wie unter dem KUVG, weshalb die bisherige Rechtsprechung zu den einzelnen Begriffselementen auch unter dem neuen Recht Gültigkeit hat (RKUV 1998 Nr. KV 45 S. 430 mit Hinweisen zum Begriff der Arbeitsunfähigkeit [ BGE 114 V 283 Erw. 1c, BGE 111 V 239 Erw. 1b], zur Bestimmung des Grades der Einschränkung in der Arbeitsfähigkeit [ BGE 114 V 283 Erw. 1c, BGE 111 V 239 Erw. 1b] und zur Zumutbarkeit eines Berufswechsels bei dauernder Arbeitsunfähigkeit im bisherigen Tätigkeitsgebiet auf Grund des Gebotes der Schadenminderung [ BGE 114 V 283 Erw. 1d und 285 Erw. 3a]). b) Art. 73 KVG bestimmt unter der Marginalie "Koordination mit der Arbeitslosenversicherung", dass arbeitslosen (Kranken-)Taggeldversicherten bei einer Arbeitsunfähigkeit von mehr als 50% das volle Taggeld und bei einer Arbeitsunfähigkeit von mehr als 25%, aber höchstens 50% das halbe Taggeld auszurichten ist, sofern die (Kranken-)Versicherer auf Grund ihrer Versicherungsbedingungen oder vertraglicher Vereinbarungen bei einem entsprechenden Grad der Arbeitsunfähigkeit grundsätzlich Leistungen erbringen (Abs. 1). Arbeitslose (Kranken-)Versicherte haben gegen angemessene Prämienanpassung Anspruch auf Änderung ihrer bisherigen Versicherung in eine Versicherung mit Leistungsbeginn ab dem 31. Tag, unter Beibehaltung der bisherigen Taggeldhöhe und ohne Berücksichtigung des Gesundheitszustandes im Zeitpunkt der Änderung (Abs. 2). Art. 28 Abs. 1 AVIG sieht entsprechend vor, dass Arbeitslosenversicherte, die wegen Krankheit, Unfall oder Mutterschaft vorübergehend nicht oder nur vermindert arbeits- und vermittlungsfähig sind und deshalb die Kontrollvorschriften nicht erfüllen können, einen längstens bis zum 30. Tag nach Beginn der ganzen oder teilweisen Arbeitsunfähigkeit dauernden und innerhalb der Rahmenfrist auf 34 Taggelder beschränkten Anspruch auf das volle Arbeitslosentaggeld haben, sofern sie die übrigen Anspruchsvoraussetzungen erfüllen. Nach Abs. 2 von Art. 28 AVIG werden Taggelder der Kranken- oder Unfallversicherung, die Erwerbsersatz darstellen, von der Arbeitslosenentschädigung oder der Entschädigung BGE 128 V 149 S. 153 für die Teilnahme an Umschulungs-, Weiterbildungs- und Eingliederungsmassnahmen der Arbeitslosenversicherung abgezogen. c) Nach Art. 78 Abs. 2 KVG sorgt der Bundesrat dafür, dass die Versicherten oder die Leistungserbringer durch die Leistungen der sozialen Krankenversicherung oder durch deren Zusammentreffen mit den Leistungen anderer Sozialversicherungen nicht überentschädigt werden, insbesondere beim Aufenthalt in einem Spital. Gemäss Art. 72 Abs. 5 KVG hat die arbeitsunfähige versicherte Person bei Kürzung des Taggeldes infolge Überentschädigung nach Art. 78 Abs. 2 KVG Anspruch auf den Gegenwert von 720 vollen Taggeldern. Die Fristen für den Bezug des Taggeldes verlängern sich entsprechend der Kürzung. Gestützt auf die Kompetenzdelegation in Art. 78 Abs. 2 KVG hat der Bundesrat in Art. 122 Abs. 1 KVV bestimmt, dass die Leistungen der Krankenversicherung oder deren Zusammentreffen mit denjenigen anderer Sozialversicherungen nicht zu einer Überentschädigung der versicherten Person führen dürfen. Liegt eine Überentschädigung vor, so werden nach Art. 122 Abs. 3 KVV die betreffenden Leistungen der Krankenversicherung um deren Betrag gekürzt.</w:t>
      </w:r>
    </w:p>
    <w:p>
      <w:r>
        <w:rPr>
          <w:b/>
        </w:rPr>
        <w:t>E. 3</w:t>
      </w:r>
    </w:p>
    <w:p>
      <w:r>
        <w:t>a) Nach dem Entscheid der Vorinstanz vom 27. Januar 1999 steht fest, dass dem Beschwerdegegner per 1. Januar 1998 zu den bisherigen Versicherungsbedingungen der Übertritt in die Einzeltaggeldversicherung zu gewähren war (Taggeld von Fr. 133.65; ohne Wartefrist; Monatsprämie Fr. 1069.20). Es ist strittig, ob die Beschwerdeführerin berechtigt war, dem Beschwerdegegner ab dem Zeitpunkt des Eintritts der Arbeitslosigkeit am 1. Februar 1998 die Umwandlung der Versicherung in eine solche mit Leistungsbeginn ab dem 31. Tag ganz oder teilweise (Verfügung vom 15. Dezember 1999 resp. Einspracheentscheid vom 15. September 2000) zu verweigern. Sie erklärte sich im Einspracheentscheid bereit, das Taggeld bis zu einer Höhe von Fr. 22.70 in ein Taggeld mit Leistungsbeginn ab 31. Tag umzuwandeln. Im Umfang von Fr. 110.95 bis zur bisherigen Deckung von Fr. 133.65 verweigerte sie die Einräumung einer Wartefrist und begründet dies in der Verwaltungsgerichtsbeschwerde damit, dass nach der rückwirkenden Zusprechung einer Rente der Invalidenversicherung lediglich 17% des Erwerbsausfalls durch die Arbeitslosenversicherung gedeckt gewesen sei. Wenn die Arbeitslosenversicherung den Erwerbsausfall nur zu 17% decke, dann seien die Leistungen der sozialen Taggeldversicherung und der Arbeitslosenversicherung nur in diesem Umfang zu koordinieren. BGE 128 V 149 S. 154 b) Eine solche Aufteilung der Versicherungsdeckung entspricht nicht den Vorstellungen des Gesetzgebers. Aus der Marginalie zu Art. 73 KVG sowie der entsprechenden Koordinationsregel in Art. 28 AVIG ergibt sich, dass der Taggeldanspruch nach Art. 73 KVG voraussetzt, dass die versicherte Person, wäre sie nicht erkrankt, Anspruch auf Taggelder der Arbeitslosenversicherung (oder auf Arbeitslosentaggelder nach kantonalem Recht; SVR 1998 KV Nr. 4 S. 10 Erw. 5b) hat. Dieser gesetzlichen Regelung liegt die Überlegung zu Grunde, dass ebenfalls einen von der Krankentaggeldversicherung zu entschädigenden Verdienstausfall erleidet, wer zwar grundsätzlich Anspruch auf Arbeitslosentaggelder hat, zufolge Krankheit indessen vorübergehend vermittlungsunfähig ist und deshalb keine Arbeitslosentaggelder beziehen kann (RKUV 1998 Nr. KV 43 S. 422 Erw. 3a mit Hinweis auf BGE 102 V 83 ; SVR 1998 KV Nr. 4 S. 9 Erw. 3b). Der bundesrätlichen Botschaft zu einem neuen Bundesgesetz über die obligatorische Arbeitslosenversicherung und Insolvenzentschädigung vom 2. Juli 1980 (BBl 1980 III 489 ff.) ist zu entnehmen, dass die Sonderregelung des heutigen Art. 28 Abs. 1 AVIG in dem der Vernehmlassung unterbreiteten Entwurf noch nicht enthalten war (BBl 1980 III 585). Die Einführung von Taggeldern bei vorübergehend fehlender oder verminderter Arbeitsfähigkeit wurde in der Expertenkommission und der von dieser eingesetzten "Arbeitsgruppe für die Nahtstellenprobleme" zwar eingehend diskutiert, schliesslich aber abgelehnt. Ausschlaggebend war unter anderem, dass die Ausrichtung von Arbeitslosenentschädigung an vermittlungsunfähige Arbeitslose einen nicht leicht zu nehmenden Einbruch in ein seit jeher geltendes Grundprinzip der Arbeitslosenversicherung, wonach die Vermittlungsfähigkeit eine Voraussetzung der Anspruchsberechtigung ist, bedeutet (BBl 1980 III 585 f.). Erst nachdem in der Vernehmlassung verschiedentlich auf die Lücke aufmerksam gemacht wurde, die dadurch entstand, dass kranke Arbeitslose nicht nur keine Leistungen der Arbeitslosenversicherung, sondern auf Grund der in vielen Fällen aufgeschobenen Krankentaggeldversicherung auch keine Taggelder der Krankenversicherung erhielten, wurde die Ausnahmeregelung des Art. 28 Abs. 1 AVIG in den Gesetzesentwurf aufgenommen (BBl 1980 III 585). Die Begrenzung der Arbeitslosenentschädigung auf den 30. Tag der Krankheit sollte dem Umstand Rechnung tragen, dass die aufgeschobene Krankentaggeldversicherung nach der damaligen Rechtslage in der Regel in jenem Zeitpunkt wirksam BGE 128 V 149 S. 155 wurde und den Arbeitslosen der Abschluss einer solchen Versicherung mit Leistungsbeginn ab dem 31. Tag auf eigene Kosten zugemutet werden konnte (Amtl.Bull. 1981 N 605, vgl. auch 825; Amtl.Bull. 1982 S 136). Absatz 2 der Bestimmung statuiert den subsidiären Charakter der Leistungspflicht der Arbeitslosenversicherung und soll eine "Überversicherung" verhindern (BBl 1980 III 586 f.; vgl. dazu auch UELI KIESER, Die Taggeldkoordination im Sozialversicherungsrecht, in: AJP 2000 S. 255). Art. 28 Abs. 1 AVIG weicht vom Grundprinzip der Arbeitslosenversicherung ab, wonach Leistungen nur bei Vermittlungsfähigkeit der versicherten Person in Betracht kommen ( BGE 117 V 246 f. Erw. 3c), und erfasst - im Unterschied zu Art. 15 Abs. 2 Satz 1 AVIG - Fälle bloss vorübergehend fehlender oder verminderter Arbeitsfähigkeit ( BGE 126 V 127 Erw. 3b; ARV 1995 Nr. 30 S. 174 Erw. 3a/bb, 1989 Nr. 1 S. 56 oben Erw. 2b; GERHARDS, Kommentar zum Arbeitslosenversicherungsgesetz, Bd. I, N 5 zu Art. 28) infolge Krankheit, Unfall und Mutterschaft.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(ARV 2001 S. 166 Erw. 6a und b). c) Wenn nach Absatz 2 von Art. 28 AVIG Taggelder der Kranken- oder Unfallversicherung, die Erwerbsersatz darstellen, von der Arbeitslosenentschädigung oder der Entschädigung für die Teilnahme an Umschulungs-, Weiterbildungs- und Eingliederungsmassnahmen der Arbeitslosenversicherung abgezogen werden, und wenn Art. 73 KVG unter der Marginalie "Koordination mit der Arbeitslosenversicherung" einen uneingeschränkten Anspruch auf Umwandlung einer bestehenden Taggeldversicherung in eine solche mit 30 Tagen Wartefrist einräumt, dann erweist sich die von der Beschwerdeführerin vertretene Interpretation der Rechtslage als nicht angängig; auch kann in dem hier erörterten Zusammenhang die in Art. 13 ihres Reglementes über Besondere Bedingungen der Einzel-Taggeldversicherung getroffene Regelung über die Änderung der Wartefrist während einer Krankheit oder nach einem Unfall nicht greifen. Wie der Beschwerdegegner zu Recht darauf hinweist, unterscheidet Art. 73 KVG nicht zwischen Ganz- und Teilarbeitslosigkeit BGE 128 V 149 S. 156 und räumt der krankentaggeldversicherten Person das Recht auf Abänderung der bestehenden Versicherung zur Koordination mit den Leistungen der Arbeitslosenversicherung unabhängig vom Gesundheitszustand ein. Nicht zulässig ist angesichts des Erörterten ebenfalls die von der Beschwerdeführerin vorgenommene Beschränkung der Leistungen auf 83% des versicherten Taggeldes, was sie damit begründet, die restlichen 17% würden durch die Arbeitslosenversicherung gedeckt. Der Beschwerdegegner hat nach der Koordinationsbestimmung von Art. 73 Abs. 1 KVG bei einer Arbeitsunfähigkeit von mehr als 50% Anspruch auf das volle (Kranken-)Taggeld von Fr. 133.65, das dann allenfalls zur Vermeidung einer Überentschädigung zu kürzen ist. Die Leistungen auf Grund der Regel von Art. 73 Abs. 1 KVG unterstehen ebenfalls dem Überentschädigungsverbot (GEBHARD EUGSTER, Krankenversicherung, in: Schweizerisches Bundesverwaltungsrecht [SBVR], Soziale Sicherheit, Rz 378).</w:t>
      </w:r>
    </w:p>
    <w:p>
      <w:r>
        <w:rPr>
          <w:b/>
        </w:rPr>
        <w:t>E. 4</w:t>
      </w:r>
    </w:p>
    <w:p>
      <w:r>
        <w:t>a) Die freiwillige Taggeldversicherung nach Art. 67 ff. KVG ist eine Erwerbsausfallversicherung; allerdings können die Parteien weitere krankheitsbedingte Schadenspositionen als versicherte Risiken in den Versicherungsvertrag aufnehmen. Dem stehen namentlich die Bestimmungen über die Vermeidung einer Überentschädigung ( Art. 78 Abs. 2 KVG und Art. 122 KVV ) nicht entgegen. Diese bezeichnen nicht den Gegenstand der Taggeldversicherung. Sie bezwecken vielmehr, die Kürzung von Sozialversicherungsleistungen zu vermeiden, solange die versicherte Person Kosten oder Einbussen im Sinne von Art. 122 Abs. 2 KVV zu tragen hat. Um die Überentschädigungsberechnung durchführen zu können, muss aber selbstverständlich in jedem Fall zunächst festgestellt werden, auf welche Sozialversicherungsleistungen die versicherte Person überhaupt Anspruch hat (RKUV 1998 Nr. KV 43 S. 421 Erw. 2a und b mit Hinweisen). Die im UVG massgebenden Grundsätze sind für die Frage der zeitlichen Kongruenz sinngemäss anwendbar. Danach ist für die Bemessung der Überentschädigung auf die gesamte Abrechnungsperiode abzustellen ( BGE 117 V 395 Erw. 3 und BGE 105 V 315 Erw. I/4; RKUV 2000 Nr. U 376 S. 182 Erw. 2b; EUGSTER, a.a.O., Rz 392 mit Hinweisen). Zur Bemessung der Überentschädigung gemäss Art. 122 Abs. 2 KVV ist wie unter dem KUVG eine Globalrechnung zu erstellen (EUGSTER, a.a.O., Rz 392 mit Hinweisen in Fn 979 und 980). b) Die Beschwerdeführerin hat sich im vorinstanzlichen Verfahren gegen eine globale Abrechnung für die gesamte Bezugsperiode, BGE 128 V 149 S. 157 beginnend ab der Entstehung des Anspruchs auf Krankentaggelder, ausgesprochen, weil sie darin eine mögliche Benachteiligung von Versicherten erblickt, die gegen eine entsprechend höhere Prämie als Versicherte mit einer Deckungsquote von nur 80% des Lohnes eine volle Versicherungsdeckung (100% des Lohnes) gewählt haben. Die Globalrechnungsmethode sei für den Bereich der Unfallversicherung entwickelt worden; anders als in der Krankenversicherung, wo der Deckungsgrad und die Wartefrist frei gewählt werden könnten, gehe man dort bei allen Versicherten von den gleichen Parametern aus. Weil deren Überentschädigung beim Zusammentreffen mit Leistungen anderer Sozialversicherungen höher ausfalle, werde die Bezugsdauer bis zur Erschöpfung des gesamten Leistungsanspruchs stärker verlängert und sie hätten somit eine höhere Prämie für eine längere Periode zu bezahlen als Versicherte, die sich willentlich und gegen eine entsprechende Prämienreduktion für eine nur teilweise Versicherungsdeckung entscheiden, was nicht im Sinne des Gleichbehandlungsprinzips sein könne. Wie die Vorinstanz dazu bereits zutreffend ausgeführt hat, besteht das Grundanliegen der Globalrechnungsmethode darin, dass eine versicherte Person, welche aus dem gleichen Ereignis Leistungen mehrerer Sozialversicherungen bezieht, finanziell nicht besser gestellt wird, als wenn sie vom versicherten Ereignis nicht betroffen worden wäre. Dies bedeutet aber umgekehrt auch, dass sie nicht schlechter gestellt sein soll. Es wird damit von einem mutmasslich entgangenen Verdienst bei voller Arbeitsfähigkeit und dem entsprechenden Verdienst bei voller Arbeitsunfähigkeit ausgegangen. Die von der Beschwerdeführerin geltend gemachten Differenzen sind nicht dergestalt, dass von einer im Sozialversicherungsrecht bewährten Praxis für diesen Bereich der Krankentaggeldversicherung abgewichen werden müsste. c) Die Vorinstanz hat die zur Bemessung der Überentschädigung und zur Bestimmung des restlichen Taggeldanspruches durchzuführende Berechnung richtig vorgenommen. Darauf kann verwiesen werden, wobei allerdings hinsichtlich des Einbezugs der Kinderzulagen ein Vorbehalt anzubringen ist (vgl. Erw. 5).</w:t>
      </w:r>
    </w:p>
    <w:p>
      <w:r>
        <w:rPr>
          <w:b/>
        </w:rPr>
        <w:t>E. 5</w:t>
      </w:r>
    </w:p>
    <w:p>
      <w:r>
        <w:t>Hinsichtlich des Einbezugs von Kinderzulagen in den versicherten Verdienst ist auf Grund der Einlassungen des Beschwerdegegners in der Vernehmlassung vom 17. Oktober 2001 erstellt, dass ein Anspruch darauf nicht während des gesamten von der Vorinstanz in die Globalberechnung einbezogenen Zeitraums bestand, sondern lediglich bis Juli 1997. Damit verlängert sich die Bezugsdauer für BGE 128 V 149 S. 158 das Resttaggeld von 40 Tagen auf 72 Tage und endigte die Versicherung am 27. Januar 1999 statt bereits am 26. Dezember 1998. Die von der Beschwerdeführerin in Nachachtung des vorinstanzlichen Entscheides festzusetzenden und verrechnungsweise abzuziehenden Prämien sind bis Ende Januar 1999 geschuldet. In diesem Sinne ist die Verwaltungsgerichtsbeschwerde teilweise gutzuheissen.</w:t>
      </w:r>
    </w:p>
    <w:p>
      <w:r>
        <w:rPr>
          <w:b/>
        </w:rPr>
        <w:t>E. 6</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