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V 10</w:t>
      </w:r>
    </w:p>
    <w:p>
      <w:r>
        <w:t>Bundesgericht (BGE), 2002-01-01, DE</w:t>
      </w:r>
    </w:p>
    <w:p>
      <w:r>
        <w:rPr>
          <w:b/>
        </w:rPr>
        <w:t xml:space="preserve">Quelle: </w:t>
      </w:r>
      <w:r>
        <w:t>https://mcp.opencaselaw.ch/entscheid/bge_BGE_128_V_10</w:t>
      </w:r>
    </w:p>
    <w:p>
      <w:r>
        <w:t>FR: ATF 128 V 10</w:t>
      </w:r>
    </w:p>
    <w:p>
      <w:r>
        <w:t>IT: DTF 128 V 10</w:t>
      </w:r>
    </w:p>
    <w:p>
      <w:pPr>
        <w:pStyle w:val="Heading2"/>
      </w:pPr>
      <w:r>
        <w:t>Regeste</w:t>
      </w:r>
    </w:p>
    <w:p>
      <w:r>
        <w:t>Regeste Art. 52 AHVG; Art. 82 Abs. 1 AHVV; Art. 230 SchKG: Arbeitgeberhaftung; Verwirkung; Schadenskenntnis. Leistet ein Gläubiger nach der Publikation der Einstellung des Konkurses mangels Aktiven die für die Durchführung des Konkursverfahrens erforderliche Kostensicherheit, so ändert dies nichts daran, dass die Ausgleichskasse in der Regel im Zeitpunkt der Publikation Kenntnis des Schadens hat.</w:t>
      </w:r>
    </w:p>
    <w:p>
      <w:r>
        <w:t>Regeste Art. 52 LAVS; art. 82 al. 1 RAVS; art. 230 LP: Responsabilité de l'employeur; péremption; connaissance du dommage. Lorsqu'un créancier fournit les sûretés exigées pour la liquidation de la faillite après la publication de la suspension de cette dernière faute d'actif, la caisse de compensation n'en a pas moins, dans la règle, connaissance du dommage au moment de cette publication.</w:t>
      </w:r>
    </w:p>
    <w:p>
      <w:r>
        <w:t>Regesto Art. 52 LAVS; art. 82 cpv. 1 OAVS; art. 230 LEF: Responsabilità del datore di lavoro; perenzione; conoscenza del danno. Quand'anche un creditore dopo la pubblicazione della sospensione della procedura di fallimento per mancanza di attivi fornisca la garanzia richiesta per la continuazione della medesima, la cassa, di regola, ha nondimeno conoscenza del danno al momento della pubblicazione.</w:t>
      </w:r>
    </w:p>
    <w:p>
      <w:pPr>
        <w:pStyle w:val="Heading2"/>
      </w:pPr>
      <w:r>
        <w:t>Erwägungen</w:t>
      </w:r>
    </w:p>
    <w:p>
      <w:r>
        <w:rPr>
          <w:b/>
        </w:rPr>
        <w:t>E. 1</w:t>
      </w:r>
    </w:p>
    <w:p>
      <w:r>
        <w:t>(Verfahrensvereinigung; vgl. BGE 123 V 215 Erw. 1, BGE 120 V 466 Erw. 1 mit Hinweisen; vgl. auch BGE 127 V 33 Erw. 1, 157 Erw. 1, BGE 126 V 285 Erw. 1; POUDRET, Commentaire de la loi fédérale d'organisation judiciaire, Bd. 1, S. 343 unten f.)</w:t>
      </w:r>
    </w:p>
    <w:p>
      <w:r>
        <w:rPr>
          <w:b/>
        </w:rPr>
        <w:t>E. 5</w:t>
      </w:r>
    </w:p>
    <w:p>
      <w:r>
        <w:t>a) Nach Art. 82 Abs. 1 AHVV "verjährt" die Schadenersatzforderung, wenn sie nicht innert Jahresfrist seit Kenntnis des Schadens durch Erlass einer Schadenersatzverfügung geltend gemacht wird. Bei dieser Frist handelt es sich entgegen dem Wortlaut der Bestimmung um eine Verwirkungsfrist, die von Amtes wegen zu berücksichtigen ist ( BGE 126 V 444 Erw. 3a und 451 Erw. 2a, je mit Hinweisen). Wird der Konkurs weder im ordentlichen noch im summarischen Verfahren durchgeführt, fällt die zumutbare Kenntnis des Schadens und der Eintritt desselben in der Regel mit der Einstellung des Konkurses mangels Aktiven zusammen, wobei der Publikationszeitpunkt der Konkurseinstellung im SHAB massgeblich ist (ZAK 1990 S. 289 Erw. 4b und S. 290 Erw. 4c/bb; THOMAS NUSSBAUMER, Die Ausgleichskasse als Partei im Schadenersatzprozess nach Art. 52 AHVG , in: ZAK 1991 S. 383 ff., 433 ff., insbesondere S. 390). Voraussetzung für eine ausreichende Kenntnis des Schadens ist aber, dass die Ausgleichskasse zu diesem Zeitpunkt bereits alle tatsächlichen Umstände über die Existenz, die Beschaffenheit und die wesentlichen Merkmale des Schadens sowie die Person des Ersatzpflichtigen kennt. Da die ausstehende Beitragsforderung Grundlage für die Höhe des Schadens bildet, kann daher eine Kenntnis bei der Publikation der Konkurseinstellung nur dann angenommen BGE 128 V 10 S. 13 werden, wenn die Ausgleichskasse zu diesem Zeitpunkt bereits in der Lage ist, die Höhe der Beitragsforderung zu beziffern ( BGE 126 V 445 Erw. 3c mit Hinweisen). b) Zur Frage, ob die Durchführung des Konkurses auf Grund eines Gläubigerbegehrens mit Kostensicherstellung im Sinne von Art. 230 Abs. 2 SchKG den Beginn der Verwirkungsfrist verschiebt, hat das Eidgenössische Versicherungsgericht bereits im nicht veröffentlichten Urteil D. vom 28. September 1995 (H 105/95) Stellung bezogen. Es verneinte die Frage für das summarische Verfahren und verwies zur Begründung im Wesentlichen auf das nicht veröffentlichte Urteil F. vom 11. Juli 1995 (H 72/95), in welchem Fall zwar das Konkursverfahren mangels Kostensicherstellung gerade nicht durchgeführt worden ist. Diese Rechtsprechung hat es unlängst im Urteil J. vom 4. September 2001 (H 300/00) beiläufig bestätigt. Im Unterschied zu dieser Rechtsprechung vertritt das kantonale Gericht die vom BSV unterstützte Auffassung, die Schadenersatzverfügung sei rechtzeitig erlassen worden, da ein Gläubiger den Kostenvorschuss geleistet habe, sodass der Konkurs nicht eingestellt worden sei, sondern im ordentlichen Verfahren durchgeführt werde. Es sei kaum davon auszugehen, dass ein Gläubiger einen ansehnlichen Kostenvorschuss bezahle, ohne die begründete Hoffnung zu haben, es seien noch in erheblichem Ausmass Aktiven in der Konkursmasse vorhanden. Dies gelte im vorliegenden Fall umso mehr, als der bevorschussende Gläubiger Finanzfachmann sei und selbst bis Ende 1995 Verwaltungsrat der konkursiten Firma gewesen sei und damit deren Verhältnisse viel besser habe einschätzen können als andere Gläubiger. Dies zeigten auch die Aussagen in einem Zeitungsartikel vom 18. Februar 1997. Die Ausgleichskasse habe als in der zweiten Klasse privilegierte Gläubigerin bis zur ersten Gläubigerversammlung in guten Treuen von der Deckung ihrer Forderung ausgehen dürfen. c) Nach der Konkurseröffnung wird über das zur Konkursmasse gehörende Vermögen ein Inventar aufgenommen ( Art. 221 SchKG ). Der Zweck des Inventars liegt darin, sich einen Überblick über die Vermögensverhältnisse des Schuldners zu verschaffen, das Vermögen zu sichern und eine Grundlage für den Entscheid bezüglich des weiteren Verfahrens (Einstellung des Konkursverfahrens mangels Aktiven, summarisches oder ordentliches Verfahren) zu schaffen (URS LUSTENBERGER, in: STAEHELIN/BAUER/STAEHELIN [Hrsg.], Kommentar zum Bundesgesetz über Schuldbetreibung und Konkurs, Basel 1998, N 6 zu Art. 221 SchKG ). Im Inventar werden sämtliche BGE 128 V 10 S. 14 Vermögenswerte mit dem Schätzwert aufgenommen ( Art. 221-227 SchKG ; Art. 25-34 KOV ; AMONN/GASSER, Grundriss des Schuldbetreibungs- und Konkursrechts, 6. Aufl., Bern 1997, S. 350, Rz 11 zu § 44). Wird "keinerlei in die Masse gehörendes Vermögen vorgefunden" ( Art. 230 Abs. 1 SchKG in der bis Ende 1996 geltenden Fassung) oder "reicht die Konkursmasse voraussichtlich nicht aus, um die Kosten für ein summarisches Verfahren zu decken" ( Art. 230 Abs. 1 SchKG in der ab 1. Januar 1997 gültigen Fassung), so entscheidet das Konkursgericht auf Antrag des Konkursamtes nach Prüfung der Sachlage über die Frage der Konkurseinstellung mangels Aktiven. Es hat sich darüber ein selbstständiges Urteil zu bilden, insbesondere ob erhobene Drittansprüche anerkannt werden müssen und Anfechtungsklagen irgendwelcher Art nicht möglich oder ohne jede Aussicht auf Erfolg sind (JAEGER/WALDER/KULL/KOTTMANN, Bundesgesetz über Schuldbetreibung und Konkurs, 4. Aufl., Zürich 1997-2001, S. 358, N 6 zu Art. 230). Damit existiert für den Zeitpunkt des Einstellungsbeschlusses ein gerichtlich überprüftes Inventar, wonach zu wenig Vermögenswerte vorhanden sind, um wenigstens das summarische Konkursverfahren durchzuführen. Die Situation verhält sich für die Frage der Schadenskenntnis ähnlich wie mit Bezug auf die erste Gläubigerversammlung im ordentlichen Verfahren, wenn der Bericht des Konkursamtes über die Aufnahme des Inventars und den Bestand der Masse vorliegt ( Art. 237 Abs. 1 SchKG ), der geeignet ist, die fristauslösende Kenntnis zumindest im Sinne eines Teilschadens zu verschaffen ( BGE 126 V 450 ). Realistischerweise kann daher die Ausgleichskasse im Zeitpunkt der Publikation der Einstellung ( Art. 230 Abs. 2 SchKG ) nicht davon ausgehen, dass bei Durchführung des Konkurses ihre (privilegierte) Beitragsforderung gedeckt werde. Ohnehin kann es nicht auf die der Ausgleichskasse in den meisten Fällen unbekannten Motive des bevorschussenden Gläubigers ankommen. Die zumutbare Kenntnis des Schadens und der Eintritt desselben fällt daher in der Regel mit der Einstellung des Konkurses mangels Aktiven zusammen, unabhängig davon, ob allenfalls in der Folge das summarische oder ordentliche Konkursverfahren durchgeführt wird. d) Im vorliegenden Fall wurde über die der Beschwerdegegnerin angeschlossene Aktiengesellschaft am 10. Dezember 1996 der Konkurs eröffnet. Am 23. Dezember 1996 fand die Arbeitgeberkontrolle statt (vgl. Art. 162 Abs. 1 AHVV ), die eine nicht abgerechnete beitragspflichtige Lohnsumme von Fr. 1'825'022.10 ergab. Gestützt BGE 128 V 10 S. 15 darauf war die Beschwerdegegnerin - unabhängig von der vom BSV erwähnten, hinsichtlich einer Arbeitnehmerin bestehenden Unklarheit über die Beitragspflicht - in der Lage, die Höhe ihrer Beitragsforderung und damit die Höhe ihres Schadens zu beziffern, als am 7. Februar 1997 die Publikation der Konkurseinstellung im SHAB erfolgte. Tags darauf begann jeweils die einjährige Verwirkungsfrist des Art. 82 Abs. 1 AHVV zu laufen (nicht veröffentlichtes Urteil F. vom 11. Juli 1995, H 72/95). Die drei Schadenersatzverfügungen vom 20. Februar 1998 ergingen damit nach deren Ablauf, sodass die drei Schadenersatzforderungen verwirkt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