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155</w:t>
      </w:r>
    </w:p>
    <w:p>
      <w:r>
        <w:t>Bundesgericht (BGE), 2002-02-14, DE</w:t>
      </w:r>
    </w:p>
    <w:p>
      <w:r>
        <w:rPr>
          <w:b/>
        </w:rPr>
        <w:t xml:space="preserve">Quelle: </w:t>
      </w:r>
      <w:r>
        <w:t>https://mcp.opencaselaw.ch/entscheid/bge_BGE_128_I_155</w:t>
      </w:r>
    </w:p>
    <w:p>
      <w:r>
        <w:t>FR: ATF 128 I 155</w:t>
      </w:r>
    </w:p>
    <w:p>
      <w:r>
        <w:t>IT: DTF 128 I 155</w:t>
      </w:r>
    </w:p>
    <w:p>
      <w:pPr>
        <w:pStyle w:val="Heading2"/>
      </w:pPr>
      <w:r>
        <w:t>Regeste</w:t>
      </w:r>
    </w:p>
    <w:p>
      <w:r>
        <w:t>Regeste Geltung des Mehrwertsteuergesetzes in den Talschaften Samnaun und Sampuoir (Art. 3 Abs. 3 MWSTG); Sondergewerbesteuergesetze der Gemeinde Samnaun für Handel und Bauinvestitionen, für Handel mit Benzin und Dieselöl sowie für Handel mit Tabakwaren (Art. 8, 9, 27, 29 und 127 BV); Frist für staatsrechtliche Beschwerde (Art. 89 Abs. 1 OG). Bedarf ein kantonaler Erlass der konstitutiven Genehmigung durch eine andere Behörde, so beginnt die Frist für die staatsrechtliche Beschwerde erst mit der Genehmigung bzw. der Bekanntmachung des Genehmigungsentscheids zu laufen. Das gilt auch, wenn die letzte kantonale Instanz im Rahmen eines abstrakten Normenkontrollverfahrens entschieden hat (E. 1.1). Die streitigen Sondergewerbesteuern verstossen nicht gegen den Grundsatz der Allgemeinheit der Besteuerung (Art. 127 Abs. 2 BV): Soweit sie zur Finanzierung der dem Bund zu kompensierenden Steuerausfälle dienen, ist es sachlich vertretbar, diese Kosten in erster Linie jenen Leistungspflichtigen anzulasten, die von der Befreiung von der Mehrwertsteuer profitieren und deren Privilegierung den Bund veranlasst hat, von der Gemeinde eine Kompensation zu verlangen. Soweit ihr Ertrag zu andern, im Gesetz umschriebenen Zwecken dient, wird damit ein Sondervorteil ausgeglichen, der einzelnen Gewerbetreibenden aus dem Zollprivileg in besonderem Mass zukommt (E. 2). Die zur Überwachung und Kontrolle des Handels mit Tabakwaren vorgesehenen Massnahmen (Clearingstelle; Meldepflicht) verletzen die Wirtschaftsfreiheit gemäss Art. 27 BV nicht (E. 3).</w:t>
      </w:r>
    </w:p>
    <w:p>
      <w:r>
        <w:t>Regeste Validité de la loi fédérale régissant la taxe sur la valeur ajoutée dans les vallées de Samnaun et de Sampuoir (art. 3 al. 3 LTVA); lois de la commune de Samnaun instituant des impôts spéciaux en matière d'activités économiques sur le commerce et les investissements immobiliers, sur le commerce de benzine et de diesel ainsi que sur le commerce de tabac (art. 8, 9, 27, 29 et 127 Cst.); délai pour le dépôt du recours de droit public (art. 89 al. 1 OJ). Lorsqu'un arrêté cantonal est soumis à l'autorisation constitutive d'une autre autorité, le délai pour déposer un recours de droit public ne commence à courir qu'avec l'autorisation, respectivement la communication de la décision d'autorisation. Il en va de même lorsque la dernière instance cantonale a procédé à un contrôle abstrait des normes (consid. 1.1). Les impôts spéciaux en matière d'activités économiques ne violent pas le principe de l'universalité de l'impôt (art. 127 al. 2 Cst.). Dans la mesure où ils visent à financer les pertes fiscales qui doivent être remboursées à la Confédération, il peut objectivement se justifier de mettre ces coûts à charge des contribuables qui profitent au premier chef de l'exonération de la taxe sur la valeur ajoutée, privilège qui a précisément conduit la Confédération à exiger une compensation de la part de la commune. Dans la mesure où les rentrées fiscales visent d'autres buts, décrits par la loi, elles compensent ainsi un avantage particulier dont bénéficient de manière prépondérante les commerçants grâce au privilège douanier (consid. 2). Les mesures de surveillance et de contrôle du commerce de tabac (office de clearing; obligation de déclaration) ne violent pas la liberté économique selon l'art. 27 Cst. (consid. 3).</w:t>
      </w:r>
    </w:p>
    <w:p>
      <w:r>
        <w:t>Regesto Validità della legge federale che disciplina l'imposta sul valore aggiunto nelle valli di Samnaun e di Sampuoir (art. 3 cpv. 3 LIVA); leggi del Comune de Samnaun che istituiscono imposte speciali in materia di attività economiche sul commercio e sugli investimenti immobiliari, sul commercio di benzina e di diesel nonché sul commercio del tabacco (art. 8, 9, 27, 29 e 127 Cost.); termine per interporre un ricorso di diritto pubblico (art. 89 cpv. 1 OG). Quando un decreto cantonale è sottoposto all'approvazione costitutiva di un'altra autorità, il termine per interporre un ricorso di diritto pubblico comincia a decorrere solo quando è stata data l'approvazione, rispettivamente quando è comunicata la decisione d'approvazione. Ciò vale anche quando l'ultima istanza cantonale ha proceduto ad un controllo astratto delle norme (consid. 1.1). Le imposte speciali in materia di attività economiche non violano il principio della generalità dell'imposta (art. 127 cpv. 2 Cost.). Nella misura in cui servono a finanziare le perdite fiscali che devono essere rimborsate alla Confederazione, è oggettivamente giustificato di porre questi costi a carico dei contribuenti che beneficiano in primo luogo dell'esenzione dall'imposta sul valore aggiunto, privilegio che ha precisamente portato la Confederazione ad esigere un compenso da parte del comune. In quanto gli introiti fiscali servono ad altri scopi contemplati dalla legge, essi compensano un vantaggio particolare di cui beneficiano in modo preponderante i commercianti grazie al privilegio doganale (consid. 2). Le misure previste per la sorveglianza e il controllo del commercio del tabacco (ufficio di clearing; obbligo di dichiarazione) non violano la libertà economica ai sensi dell'art. 27 Cost. (consid. 3).</w:t>
      </w:r>
    </w:p>
    <w:p>
      <w:pPr>
        <w:pStyle w:val="Heading2"/>
      </w:pPr>
      <w:r>
        <w:t>Erwägungen</w:t>
      </w:r>
    </w:p>
    <w:p>
      <w:r>
        <w:rPr>
          <w:b/>
        </w:rPr>
        <w:t>E. 1.1</w:t>
      </w:r>
    </w:p>
    <w:p>
      <w:r>
        <w:t>Die staatsrechtliche Beschwerde gegen einen Erlass ist binnen 30 Tagen seit der nach kantonalem Recht massgebenden Eröffnung oder Mitteilung zu erheben ( Art. 89 OG ). Kennt das kantonale Recht ein Verfahren der abstrakten Normenkontrolle, ist zunächst dieses zu durchlaufen ( Art. 86 Abs. 1 OG ; BGE 124 I 11 E. 1a S. 13, mit Hinweisen), und die Frist zur staatsrechtlichen Beschwerde beginnt alsdann mit der Eröffnung des letztinstanzlichen kantonalen Normenkontrollentscheids. Nach der Praxis des Bundesgerichts kann jedoch mit einer an einen solchen Entscheid anknüpfenden staatsrechtlichen Beschwerde die verfassungsrechtliche Überprüfung und allfällige Aufhebung des angefochtenen Erlasses nur dann verlangt werden, wenn das kantonale Normenkontrollverfahren unmittelbar im Anschluss an den Erlass der angefochtenen Bestimmung, d.h. innert der hiefür vorgeschriebenen oder, mangels einer solchen, innert der üblichen Rechtsmittelfrist eingeleitet worden ist. Wird indessen, wo das kantonale Recht die Einleitung eines abstrakten Normenkontrollverfahrens jederzeit bzw. ohne fristliche Bindung an den Erlass der angefochtenen Bestimmung zulässt, wie dies im Kanton Graubünden der Fall ist, ein entsprechender Normenkontrollentscheid erst später erwirkt, so kann mit einer daran BGE 128 I 155 S. 159 anschliessenden staatsrechtlichen Beschwerde weder eine verfassungsrechtliche Überprüfung noch die Aufhebung der beanstandeten Rechtssätze verlangt werden; zulässig sind in diesem Fall einzig noch Verfassungsrügen, die sich gegen den Entscheid bzw. das Verfahren vor der kantonalen Normenkontrollinstanz richten ( BGE 111 Ia 270 E. 2 mit Hinweis). Im vorliegenden Fall datieren die angefochtenen Erlasse vom 17. Dezember 2000; die verfassungsrechtliche Beschwerde an die Regierung wurde am 14. Februar 2001 erhoben. Es stellt sich daher die Frage, ob die Beschwerde innert der "üblichen" Rechtsmittelfrist eingereicht worden ist. Wie es sich damit verhält, kann jedoch dahingestellt bleiben, da die staatsrechtliche Beschwerde ohnehin rechtzeitig ist: Nach Art. 42 des bündnerischen Gemeindegesetzes vom 28. April 1974 bedürfen kommunale Steuererlasse nämlich zu ihrer Gültigkeit der Genehmigung durch die Regierung. Diese wurde im vorliegenden Fall am 3. Juli 2001 erteilt, am gleichen Tag, an dem der angefochtene Entscheid gefällt wurde. Bedarf aber ein Erlass der (konstitutiven) Genehmigung durch eine andere Behörde, so beginnt die Beschwerdefrist erst mit der Genehmigung bzw. der Bekanntmachung des Genehmigungsentscheids zu laufen ( BGE 121 I 187 E. 1b und c S. 189/190; WALTER KÄLIN, Das Verfahren der staatsrechtlichen Beschwerde, 2. Aufl., Bern 1994, S. 349). Da die Beschwerdeführer ihre kantonale verfassungsrechtliche Beschwerde noch vor der Ausfällung des Genehmigungsentscheids erhoben haben, kann ihnen nicht vorgeworfen werden, sie hätten damit zu lange zugewartet. Die im Anschluss an den Beschwerdeentscheid der Regierung erhobene staatsrechtliche Beschwerde vom 6. September 2001 erweist sich daher - unter Berücksichtigung der Sommergerichtsferien ( Art. 34 Abs. 1 lit. b OG ) - als rechtzeitig.</w:t>
      </w:r>
    </w:p>
    <w:p>
      <w:r>
        <w:rPr>
          <w:b/>
        </w:rPr>
        <w:t>E. 2</w:t>
      </w:r>
    </w:p>
    <w:p>
      <w:r>
        <w:t>Die Beschwerdeführer rügen eine Verletzung von Art. 127 Abs. 2 BV . Sie machen geltend, die streitigen Sondergewerbesteuern verstiessen gegen den Grundsatz der Allgemeinheit der Besteuerung, indem sie ohne sachlichen Grund nur von einer bestimmten Gruppe von Steuerpflichtigen erhoben würden. Überdies werde der Ertrag - ebenfalls ohne sachlichen Grund - nicht nur zur Finanzierung der Kompensationszahlungen an den Bund, sondern auch für die Förderung der Landwirtschaft und das Tourismus-Marketing verwendet.</w:t>
      </w:r>
    </w:p>
    <w:p>
      <w:r>
        <w:rPr>
          <w:b/>
        </w:rPr>
        <w:t>E. 2.1</w:t>
      </w:r>
    </w:p>
    <w:p>
      <w:r>
        <w:t>Nach Art. 127 Abs. 2 BV sind bei der Ausgestaltung der Steuern, soweit es deren Art zulässt, insbesondere die Grundsätze BGE 128 I 155 S. 160 der Allgemeinheit und der Gleichmässigkeit der Besteuerung sowie der Grundsatz der Besteuerung nach der wirtschaftlichen Leistungsfähigkeit zu beachten. Nach diesen Grundsätzen, die unter der Herrschaft der alten Bundesverfassung aus dem Gebot der Rechtsgleichheit abgeleitet wurden, müssen die Steuerpflichtigen nach Massgabe der ihnen zur Verfügung stehenden Mittel gleichmässig belastet werden ( BGE 126 I 76 E. 2a mit Hinweisen). Dabei ist zu beachten, dass die erwähnten Grundsätze auf die direkten Steuern zugeschnitten sind. Dieser Überlegung hat das Parlament durch Beifügung des Passus "soweit es die Art der Steuer zulässt" Rechnung getragen (zur Entstehungsgeschichte von Art. 127 Abs. 2 BV vgl. SILVIA MARIA SENN, Die verfassungsrechtliche Verankerung von anerkannten Besteuerungsgrundsätzen, Diss. Zürich 1999, S. 285/286).</w:t>
      </w:r>
    </w:p>
    <w:p>
      <w:r>
        <w:rPr>
          <w:b/>
        </w:rPr>
        <w:t>E. 2.2</w:t>
      </w:r>
    </w:p>
    <w:p>
      <w:r>
        <w:t>Soweit mit den streitigen Abgaben bezweckt wird, die Kompensationszahlungen zu finanzieren, die die Gemeinde dem Bund wegen des Wegfalls der Mehrwertsteuer bezahlen muss, lassen sie sich am ehesten als Kostenanlastungssteuern qualifizieren. Unter diesen Begriff fallen Sondersteuern, die einer bestimmten Gruppe von Pflichtigen auferlegt werden, weil sie zu bestimmten Aufwendungen des Gemeinwesens eine nähere Beziehung haben als die Gesamtheit der Steuerpflichtigen. Von den Vorzugslasten (Beiträgen) unterscheiden sich solche Abgaben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da sie voraussetzungslos, d.h. unabhängig vom konkreten Nutzen oder vom konkreten Verursacheranteil des Pflichtigen erhoben wird, eine Steuer dar. Sie steht nach dem Gesagten aber in einem gewissen Spannungsverhältnis zum Grundsatz der Allgemeinheit der Besteuerung. Eine derartige Sondersteuer setzt voraus, dass sachlich haltbare Gründe bestehen, die betreffenden staatlichen Aufwendungen der erfassten Personengruppe anzulasten. Zudem muss die allfällige Abgrenzung nach vertretbaren Kriterien erfolgen; andernfalls verletzt die Abgabe das in Art. 8 BV enthaltene Gleichheitsgebot (vgl. BGE 124 I 289 E. 3b S. 291/292 mit Hinweisen). BGE 128 I 155 S. 161</w:t>
      </w:r>
    </w:p>
    <w:p>
      <w:r>
        <w:rPr>
          <w:b/>
        </w:rPr>
        <w:t>E. 2.3</w:t>
      </w:r>
    </w:p>
    <w:p>
      <w:r>
        <w:t>Gemäss Art. 3 Abs. 3 MWSTG haben die Gemeinden Samnaun und Tschlin dem Bund die Steuerausfälle zu kompensieren, die ihm daraus entstehen, dass in diesen Gemeinden die Mehrwertsteuer nur für Dienstleistungen sowie für die Leistungen des Hotel- und Gastgewerbes erhoben wird. Auch wenn die Gemeinde die Zahlungen aus den allgemeinen, von sämtlichen Steuerpflichtigen zu tragenden Finanzmitteln leisten könnte, liegt es doch nahe, diese Kosten in erster Linie jenen Leistungspflichtigen anzulasten, die von der Befreiung von der Mehrwertsteuer profitieren und deren Privilegierung den Bund veranlasst hat, von der Gemeinde eine Kompensation zu verlangen. Wenn die Gemeinde in Art. 3 und 7 SGSG Handel namentlich die Umsätze der Handelsbetriebe und die Bauleistungen einer Sondersteuer unterwirft, so ist dies sachlich vertretbar, denn es sind hauptsächlich diese Umsätze, die der Mehrwertsteuer entgehen und die zu den Kompensationszahlungen Anlass geben. Demgegenüber sind die Dienstleistungen und die Leistungen des Hotel- und Gastgewerbes der Mehrwertsteuer unterworfen, und die Landwirte sind für die Lieferungen der im eigenen Betrieb gewonnenen Erzeugnisse ohnehin von der Steuerpflicht ausgenommen ( Art. 25 Abs. 1 lit. b MWSTG ), so dass hiefür keine Steuerausfälle zu kompensieren sind.</w:t>
      </w:r>
    </w:p>
    <w:p>
      <w:r>
        <w:rPr>
          <w:b/>
        </w:rPr>
        <w:t>E. 2.4</w:t>
      </w:r>
    </w:p>
    <w:p>
      <w:r>
        <w:t>Was die Beschwerdeführer dagegen vorbringen, dringt nicht durch. Dass die Gewerbetreibenden die Sondersteuer zu entrichten haben, obwohl auch die im Zollfreigebiet ansässigen Endkonsumenten von der Befreiung durch die Mehrwertsteuer profitieren, verletzt den Grundsatz der Allgemeinheit der Besteuerung nicht und ist systemkonform: Einerseits wäre auch die Mehrwertsteuer nicht vom Endkonsumenten erhoben worden, anderseits kann damit gerechnet werden, dass die Sondergewerbesteuer Handel so gut wie die Mehrwertsteuer auf den Endkonsumenten überwälzt werden kann. Von der Einholung eines Gutachtens über die behauptete "Umverteilungswirkung" der Steuer durfte die Regierung ohne Verletzung des Gehörsanspruchs der Beschwerdeführer absehen. Soweit die Beschwerdeführer geltend machen, dass die Berechnungen des Bundes betreffend die Höhe des von der Gemeinde zu kompensierenden Steuerausfalls nicht korrekt seien, genügt die Begründung den Anforderungen von Art. 90 Abs. 1 lit. b OG nicht, indem sich die Beschwerdeführer nicht substantiiert mit den entsprechenden Ausführungen im angefochtenen Entscheid auseinandersetzen. Im Übrigen bildet die Höhe der in Art. 3 Abs. 3 MWSTG vorgesehenen Kompensationszahlungen nur ein Element der BGE 128 I 155 S. 162 Berechnungsgrundlagen für die Erhebung der Sondersteuer; die Gemeinde kann deren Ertrag daneben auch für die Wirtschaft, insbesondere die Landwirtschaft sowie für das Marketing verwenden; der restliche Ertrag fällt in den Gemeindehaushalt (Art. 18 SGSG Handel).</w:t>
      </w:r>
    </w:p>
    <w:p>
      <w:r>
        <w:rPr>
          <w:b/>
        </w:rPr>
        <w:t>E. 2.5</w:t>
      </w:r>
    </w:p>
    <w:p>
      <w:r>
        <w:t>Soweit der Ertrag aus den Sondergewerbesteuern auch zu den soeben genannten Zwecken verwendet wird oder in den Gemeindehaushalt fällt, können die Steuern nicht mit der Anlastung der Kosten aus den Kompensationszahlungen gerechtfertigt werden. Sie stellen insoweit auch keine echte Vorzugslast im Sinn einer dem Kostendeckungs- und Äquivalenzprinzip unterliegenden Kausalabgabe dar, da sie nicht als Gegenleistung für eine bestimmte Aufwendung des Gemeinwesens erscheinen. Eine gewisse Ähnlichkeit besteht dagegen mit der Mehrwertabgabe, mit der die Abschöpfung von durch planerische Massnahmen geschaffenen Vorteilen bezweckt wird (vgl. dazu BGE 121 II 138 ; BGE 105 Ia 134 ; BLUMENSTEIN/LOCHER, System des Steuerrechts, 6. Aufl., Zürich 2002, S. 4). Es kann bei der Beurteilung der Sondergewerbesteuern nämlich nicht über die ganz besondere Situation der Gemeinde Samnaun hinweggesehen werden. Diese bildet, wie allgemein bekannt ist, ein Zollausschlussgebiet im Sinn von Art. 2 Abs. 2 des Zollgesetzes vom 1. Oktober 1925 (ZG; SR 631.0). Das heisst, dass Waren sämtlicher Art zollfrei in das Gemeindegebiet eingeführt und dort ohne Zollbelastung verkauft werden können. Von Bedeutung ist dies namentlich bei Produkten, die mit besonders hohen Grenzabgaben belastet sind, wie dies namentlich bei Treibstoffen (vgl. das Mineralölsteuergesetz vom 21. Juni 1996; SR 641.61) und Tabakwaren (vgl. das Bundesgesetz über die Tabakbesteuerung vom 21. März 1969; SR 641.31) der Fall ist. Es ist gerichtsnotorisch, dass dieses auf besondere historische Umstände zurückzuführende und seit mehr als 100 Jahren bestehende Privileg zur Folge gehabt hat, dass sich auf dem Gebiet der Gemeinde Samnaun ein ganzer Wirtschaftszweig gebildet hat, der auf dem mit dem Zollprivileg zusammenhängenden Einkaufstourismus beruht. Der Sinn der Sondergewerbesteuern liegt nun nach Darstellung der Gemeinde darin, die Vorteile, die einzelne Gewerbetreibende aus dem Zollprivileg ziehen, sämtlichen Einwohnern zukommen zu lassen und Wirtschaftszweige, die davon nicht oder jedenfalls nicht direkt profitieren, wie die Landwirtschaft und der Tourismus, zu fördern. Es geht somit um eine Art Ausgleichung des Sondervorteils, der einzelnen Gewerbetreibenden aus dem Zollprivileg erwächst. Das ist unter dem Gesichtspunkt der BGE 128 I 155 S. 163 Allgemeinheit und der Gleichmässigkeit der Besteuerung grundsätzlich nicht zu beanstanden. Die Gemeinde Samnaun erhebt denn auch schon seit längerer Zeit und unabhängig von der Einführung der Mehrwertsteuer ähnlich ausgestaltete Sondergewerbesteuern. Das Bundesgericht hat sich bereits mit Urteil vom 7. Mai 1975 mit dem damaligen Gesetz der Gemeinde Samnaun über die Besteuerung des Handels mit gebranntem Wasser und mit Benzin befasst, wobei es die dagegen erhobenen Rügen als unbegründet erachtet hat. Es besteht kein Anlass, heute anders zu entscheiden. Die Beschwerdeführer verkennen den Sinn der Sondersteuern, wenn sie geltend machen, die damit belasteten Detaillisten würden von der Wirtschaftsförderung bzw. dem Tourismus-Marketing nicht mehr als andere Bevölkerungsgruppen profitieren. Nicht darum geht es, sondern um den Ausgleich der Vorteile aus dem Zollprivileg, die ihnen im besonderen Masse zukommen. Ein solcher Vorteilsausgleich ist verfassungsmässig zulässig.</w:t>
      </w:r>
    </w:p>
    <w:p>
      <w:r>
        <w:rPr>
          <w:b/>
        </w:rPr>
        <w:t>E. 3</w:t>
      </w:r>
    </w:p>
    <w:p>
      <w:r>
        <w:t>Die weiteren Rügen erweisen sich zum Vornherein als unbegründet:</w:t>
      </w:r>
    </w:p>
    <w:p>
      <w:r>
        <w:rPr>
          <w:b/>
        </w:rPr>
        <w:t>E. 3.1</w:t>
      </w:r>
    </w:p>
    <w:p>
      <w:r>
        <w:t>Bezüglich der SGSG Handel beanstanden die Beschwerdeführer, dass der Steuersatz für Betriebe des Detailhandels 3 Prozent, für solche des Grosshandels hingegen nur 0,5 Prozent des Entgelts betrage. Nach den einleuchtenden Ausführungen der Regierung lässt sich der unterschiedliche Steuersatz dadurch rechtfertigen, dass der Grosshandel, der zoll- und mehrwertsteuerfrei aus der Schweiz oder aus Österreich nach Samnaun liefern kann, bei einem höheren Steuersatz abwandern würde. Auch ist zu beachten, dass eine höhere Besteuerung des Grosshandels zu einer entsprechenden unerwünschten Schattensteuer führen würde, da die Gemeinde Samnaun das Institut des Vorsteuerabzugs nicht kennt. Dieser Aspekt rechtfertigt übrigens auch den niedrigen Steuersatz auf den Bauleistungen. Soweit die Beschwerdeführer rügen, dass die Steuersätze für die Abgaben auf Tabakwaren und Treibstoff um ein Vielfaches höher sind, übersehen sie, dass in diesen Gewerbezweigen die durch die Sondergewerbesteuer auszugleichenden Vorteile aus dem Zollprivileg ebenfalls viel höher sind als beim gewöhnlichen Detailhandel.</w:t>
      </w:r>
    </w:p>
    <w:p>
      <w:r>
        <w:rPr>
          <w:b/>
        </w:rPr>
        <w:t>E. 3.2</w:t>
      </w:r>
    </w:p>
    <w:p>
      <w:r>
        <w:t>Die Beschwerdeführer kritisieren die Höhe der mit dem SGSG Benzin und Dieselöl erhobenen Abgaben. Sie legen jedoch nicht in einer den Anforderungen von Art. 90 Abs. 1 lit. b OG genügenden Art dar, inwiefern diese Abgaben ihre verfassungsmässigen Rechte verletzen sollen. Im Übrigen wäre fraglich, ob sie zu einer BGE 128 I 155 S. 164 entsprechenden Rüge überhaupt legitimiert wären, zumal sie nicht behaupten, Tankstellen zu betreiben oder inskünftig solche eröffnen zu wollen.</w:t>
      </w:r>
    </w:p>
    <w:p>
      <w:r>
        <w:rPr>
          <w:b/>
        </w:rPr>
        <w:t>E. 3.3</w:t>
      </w:r>
    </w:p>
    <w:p>
      <w:r>
        <w:t>Die Beschwerdeführer machen geltend, Art. 3 Abs. 1 und 2 SGSG Tabak, wonach der Gemeindevorstand auf Grund des von den zuständigen Bundesbehörden bewilligten Kontingents für zollfreie Tabakwaren alljährlich einen Verteilschlüssel festlege, wobei er die Anzahl der Detailhändler sowie die Samnaun Tourismus gemeldeten Logiernächte berücksichtige, entspreche den Anforderungen an eine genügende gesetzliche Grundlage nicht. Indessen steht das abgaberechtliche Legalitätsprinzip hier nicht im Spiel, lässt sich der Kreis der Abgabepflichtigen, der Gegenstand der Abgabe und deren Bemessungsgrundlagen doch durchaus dem Gesetz entnehmen (vgl. BGE 125 I 182 E. 4a S. 193 mit Hinweisen). Zwar knüpft die Abgabepflicht insofern an das Kontingentssystem an, als die Abgabe nur auf den im Rahmen des Kontingents eingeführten Zigaretten erhoben wird (Fr. 12.- pro 200 zollfreie Zigaretten; Art. 12 lit. a SGSG Tabak). Sollten die Beschwerdeführer aber ein zu geringes Kontingent erhalten, wie sie offenbar befürchten, hätten sie demgemäss eine entsprechend geringere Steuer auf den Zigaretten zu bezahlen, wären also abgaberechtlich gar nicht benachteiligt. Inwiefern die Delegation der Kontingentszuteilung an den Gemeindevorstand sonstwie ihre verfassungsmässigen Rechte verletzen soll, legen die Beschwerdeführer nicht hinreichend dar. Die inzwischen offenbar für das Jahr 2001 vorgenommene Kontingentszuteilung kann im Übrigen nicht Gegenstand des vorliegenden abstrakten Normenkontrollverfahrens bilden. Dass die streitigen Bestimmungen überhaupt nicht verfassungskonform angewendet werden können, lässt sich im Voraus jedenfalls nicht sagen.</w:t>
      </w:r>
    </w:p>
    <w:p>
      <w:r>
        <w:rPr>
          <w:b/>
        </w:rPr>
        <w:t>E. 3.4</w:t>
      </w:r>
    </w:p>
    <w:p>
      <w:r>
        <w:t>Die Beschwerdeführer beanstanden die Tabaksteuer auch der Höhe nach. Soweit sie geltend machen, sie übersteige die entgangene Mehrwertsteuer bei weitem und belaste die Tabakhändler übermässig, übersehen sie, dass mit der Besteuerung des Tabakhandels primär nicht die entgangene Mehrwertsteuer abgegolten, sondern der den Tabakhändlern aus dem Zollprivileg erwachsende Sondervorteil ausgeglichen werden soll (vgl. E. 2.5 hievor), weshalb der Vergleich mit dem übrigen Detailhandel zum Vornherein fehlgeht. Die Behauptung, der Zigarettenhandel werde infolge der Steuer defizitär, ist sodann nicht hinreichend belegt, indem sich die Beschwerdeführer darauf beschränken, den Berechnungen der BGE 128 I 155 S. 165 Regierung ihre eigenen Zahlen entgegenzuhalten; sie ist im Übrigen auch nicht glaubwürdig.</w:t>
      </w:r>
    </w:p>
    <w:p>
      <w:r>
        <w:rPr>
          <w:b/>
        </w:rPr>
        <w:t>E. 3.5</w:t>
      </w:r>
    </w:p>
    <w:p>
      <w:r>
        <w:t>Die Beschwerdeführer machen geltend, die Kontrolle des Tabakhandels durch die Gemeinde, namentlich die Einrichtung der Clearingstelle und die Meldepflicht an das Zollamt Martina, halte vor der Wirtschaftsfreiheit ( Art. 27 BV ) nicht stand. Im angefochtenen Entscheid wird in diesem Zusammenhang unter Hinweis auf ein Schreiben der Oberzolldirektion dargelegt, die Kontingentierung des Zigarettenhandels solle verhindern, dass mehr tabaksteuerfreie Zigaretten nach Samnaun verbracht werden, als in der Zollfreizone im Detailverkauf abgesetzt werden könnten. Ansonsten bestehe Schmuggelgefahr zum Nachteil der Europäischen Union und der Schweiz. Der Schmuggel zum Nachteil der Europäischen Union schade dem Ansehen der Schweiz, wenn er in irgendeiner Weise mit ihr und insbesondere mit dem Zollausschlussgebiet in Verbindung gebracht werden könne. Über Kontingentserhöhungen könne erst diskutiert werden, wenn verlässliche Detailverkaufszahlen vorlägen. Die Regierung führt dazu weiter aus, zusätzliche Kontingente würden aus naheliegenden Gründen nur zugesprochen, wenn der Nachweis erbracht werde, dass das bestehende, aus nicht versteuerten Zigaretten bestehende Kontingent nicht ausreiche und deshalb auch versteuerte Zigaretten nach Samnaun eingeführt werden müssten, um die Nachfrage nach Zigaretten zu befriedigen. Dieser Nachweis lasse sich aber nur mit einer restriktiven Kontrolle, verbunden mit einer zentralen Abwicklung, bewerkstelligen. Genau diesem Zweck diene die Clearingstelle. Die Vorbringen der Beschwerdeführer lassen diese Überlegungen nicht als verfassungswidrig erscheinen. Es darf als allgemein bekannt vorausgesetzt werden, dass der Schmuggel mit Zigaretten in Europa wegen der stärkeren fiskalischen Belastung der Tabakwaren in den umliegenden Ländern ein enormes Ausmass angenommen hat. Das Zollausschlussgebiet Samnaun ist der Gefahr, als Drehscheibe für den Zigarettenschmuggel missbraucht zu werden, in besonderem Masse ausgesetzt. Dass Schmuggelfälle in Samnaun bis anhin, wenn überhaupt, höchstens vereinzelt vorgekommen sein sollen, wie die Beschwerdeführer geltend machen, vermag an dieser Feststellung nichts zu ändern. Sollten Missbräuche nicht verhindert werden können, ist sogar zu befürchten, dass die Gemeinde Samnaun ihren Sonderstatus überhaupt verlieren könnte. Unter diesen Umständen lässt sich nicht bestreiten, dass ein eminentes öffentliches Interesse an den vorgesehenen Kontrollmassnahmen besteht, BGE 128 I 155 S. 166 die überdies auch dem wirksamen Vollzug des Gesetzes über die Besteuerung des Handels mit Tabakwaren dienen. Diese Massnahmen sind auch nicht unverhältnismässig; sie erschweren den Beschwerdeführern die Ausübung ihres Gewerbes nicht übermässig und lassen sich nicht ohne weiteres durch weniger einschneidende, aber ebenso wirksame Kontrollen ersetzen. Dass sie wirtschaftspolitischen Charakter hätten, vermögen die Beschwerdeführer nicht darzutun.</w:t>
      </w:r>
    </w:p>
    <w:p>
      <w:r>
        <w:rPr>
          <w:b/>
        </w:rPr>
        <w:t>E. 3.6</w:t>
      </w:r>
    </w:p>
    <w:p>
      <w:r>
        <w:t>Soweit die Beschwerdeführer geltend machen, die Sondergewerbesteuern führten zu unzulässigen Mehrfachbelastungen, rügen sie keine Verletzung von verfassungsmässigen Rechten. Dass in der Schweiz wohnhafte Personen, die in Samnaun mit Sondersteuern belastete Waren einkaufen, beim Import der Waren in die Schweiz unter Umständen zusätzlich Mehrwertsteuer zu bezahlen haben, belastet die Beschwerdeführer im Übrigen nicht.</w:t>
      </w:r>
    </w:p>
    <w:p>
      <w:r>
        <w:rPr>
          <w:b/>
        </w:rPr>
        <w:t>E. 3.7</w:t>
      </w:r>
    </w:p>
    <w:p>
      <w:r>
        <w:t>Schliesslich rügen die Beschwerdeführer, dass in den drei angefochtenen Gesetzen unterschiedliche Strafandrohungen vorgesehen seien. In der Tat ist kein überzeugender Grund für die unterschiedliche Bussenrahmen erkennbar. Das rechtfertigt die Aufhebung der betreffenden Bestimmungen im Verfahren der abstrakten Normenkontrolle indessen noch nicht, da sie trotz dieses Mangels einer rechtsgleichen und damit verfassungskonformen Anwendung zugänglich sind und die Beschwerdeführer überdies die Möglichkeit haben, allfällige Bussenverfügungen anzufechten (vgl. BGE 125 I 369 E. 2 S. 374 mit Hinweisen).</w:t>
      </w:r>
    </w:p>
    <w:p>
      <w:r>
        <w:rPr>
          <w:b/>
        </w:rPr>
        <w:t>E. 4.1</w:t>
      </w:r>
    </w:p>
    <w:p>
      <w:r>
        <w:t>Die Beschwerde erweist sich somit als unbegründet und ist abzuweisen, soweit darauf eingetreten werden kann. Die Regierung des Kantons Graubünden hat die angefochtenen Sondergewerbesteuergesetze unter dem Vorbehalt genehmigt, dass die Stimmrechtsbeschwerde materiellrechtlich abgewiesen wird. Auch das vorliegende Urteil präjudiziert jenes kantonale Beschwerdeverfahren, das anscheinend vom Verwaltungsgericht sistiert wurde und in dem es um abstimmungsrechtliche Fragen geht,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