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92</w:t>
      </w:r>
    </w:p>
    <w:p>
      <w:r>
        <w:t>Bundesgericht (BGE), 2002-02-27, FR</w:t>
      </w:r>
    </w:p>
    <w:p>
      <w:r>
        <w:rPr>
          <w:b/>
        </w:rPr>
        <w:t xml:space="preserve">Quelle: </w:t>
      </w:r>
      <w:r>
        <w:t>https://mcp.opencaselaw.ch/entscheid/bge_BGE_128_IV_92</w:t>
      </w:r>
    </w:p>
    <w:p>
      <w:r>
        <w:t>FR: ATF 128 IV 92</w:t>
      </w:r>
    </w:p>
    <w:p>
      <w:r>
        <w:t>IT: DTF 128 IV 92</w:t>
      </w:r>
    </w:p>
    <w:p>
      <w:pPr>
        <w:pStyle w:val="Heading2"/>
      </w:pPr>
      <w:r>
        <w:t>Regeste</w:t>
      </w:r>
    </w:p>
    <w:p>
      <w:r>
        <w:t>Regeste Art. 270 BStP, Art. 10 Abs. 2 lit. c, Art. 23 UWG; Einstellung, Legitimation der Schweizerischen Eidgenossenschaft zur eidgenössischen Nichtigkeitsbeschwerde. Auch soweit der Schweizerischen Eidgenossenschaft das Strafantragsrecht wegen vorsätzlichen unlauteren Wettbewerbs zusteht, ist sie zur Nichtigkeitsbeschwerde nur unter den Voraussetzungen von Art. 270 lit. f und g BStP legitimiert (E. 4).</w:t>
      </w:r>
    </w:p>
    <w:p>
      <w:r>
        <w:t>Regeste Art. 270 PPF, art. 10 al. 2 let. c, art. 23 LCD; classement, qualité pour se pourvoir en nullité de la Confédération suisse. Même si la Confédération suisse peut porter plainte pour des actes intentionnels de concurrence déloyale, elle ne peut se pourvoir en nullité qu'aux conditions de l'art. 270 let. f et g PPF (consid. 4).</w:t>
      </w:r>
    </w:p>
    <w:p>
      <w:r>
        <w:t>Regesto Art. 270 PP, art. 10 cpv. 2 lett. c, art. 23 LCSl; abbandono del procedimento, legittimazione della Confederazione svizzera per ricorrere per cassazione. Anche se la Confederazione svizzera può presentare querela per atti intenzionali di concorrenza sleale, essa è legittimata a ricorrere per cassazione solo conformemente alle condizioni dell'art. 270 lett. f e g PP (consid. 4).</w:t>
      </w:r>
    </w:p>
    <w:p>
      <w:pPr>
        <w:pStyle w:val="Heading2"/>
      </w:pPr>
      <w:r>
        <w:t>Erwägungen</w:t>
      </w:r>
    </w:p>
    <w:p>
      <w:r>
        <w:rPr>
          <w:b/>
        </w:rPr>
        <w:t>E. 4</w:t>
      </w:r>
    </w:p>
    <w:p>
      <w:r>
        <w:t>a) En vertu de l' art. 270 let . e ch. 1 PPF, entré en vigueur le 1er janvier 2001, la victime d'une infraction, si elle était déjà partie à la procédure cantonale, peut se pourvoir en nullité, mais uniquement dans la mesure où la sentence touche ses prétentions civiles ou peut avoir des incidences sur le jugement de celles-ci (cf. aussi art. 8 al. 1 let . c de la loi fédérale du 4 octobre 1991 sur l'aide aux victimes d'infractions (LAVI; RS 312.5). La révision de cette disposition a eu pour but de décharger la Cour de cassation en limitant l'accès des justiciables à celle-ci (FF 1999 p. 8859 ss). Depuis le 1er janvier 2001, la qualité pour recourir selon l' art. 270 let . e PPF n'appartient donc plus à l'ensemble des lésés, mais aux seules victimes et à leurs proches, soit au cercle de personnes défini par l' art. 2 LAVI (FF 1999 p. 8863 et 8873). Or, à l'évidence, la Confédération n'est pas une victime au sens de l' art. 2 LAVI , ne pouvant se réclamer d'une atteinte directe à son intégrité corporelle, sexuelle ou psychique. Les personnes domiciliées à l'étranger qui sont lésées par les agissements de X. SA et à la place desquelles agit la Confédération (FF 1992 I 341) ne revêtent d'ailleurs pas davantage la qualité de victime LAVI, aucune atteinte directe à leur intégrité psychique ou physique n'ayant été constatée dans l'ordonnance attaquée (au sujet de la notion de victime voir ATF 122 IV 71 consid. 3a p. 76). b) La recourante déduit sa qualité pour recourir de l' ATF 120 IV 154 en tant qu'il reconnaît aux associations professionnelles et économiques ainsi qu'aux organisations de consommateurs la qualité BGE 128 IV 92 S. 95 pour se pourvoir en nullité sur la base de l' art. 270 al. 1 2 ème phrase aPPF, entré en vigueur le 1er janvier 1993, à la suite de l'adoption de la LAVI. Elle admet que depuis lors l' art. 270 PPF a été modifié et, en particulier, que le terme de lésé a été remplacé par celui de victime, avec un renvoi à la LAVI, mais estime que cette modification ne restreint pas la notion de victime à la seule définition qu'en donne la LAVI. Elle fait valoir qu'en initiant une procédure pénale basée sur les art. 10 al. 2 let . c et 23 LCD, elle agit dans l'intérêt de la Suisse mais aussi des victimes étrangères et qu'elle doit dès lors être assimilée aux victimes lésées par l'acte incriminé, de la même manière que les associations et organisations mentionnées à l' art. 10 al. 2 let. a et b LCD . Elle ajoute qu'elle remplit pour le surplus les conditions auxquelles est subordonnée la qualité de victime pour se pourvoir en nullité, puisqu'elle a participé à la procédure cantonale et que la décision attaquée met en péril des droits à caractère civil dont elle est titulaire. Ce raisonnement ne peut être suivi. Lors de l'entrée en vigueur le 1er août 1992 de l' art. 10 al. 2 let . c LCD (droit d'actions et de plainte de la Confédération), la teneur d'alors de l'article 270 PPF aurait probablement permis à la Confédération de se pourvoir en nullité, en tant que cette disposition reconnaissait au plaignant lésé la qualité pour le faire. Tel n'est cependant plus le cas aujourd'hui (cf. supra, let. a). Certes, il n'est pas exclu que lors de la dernière révision de cette disposition, la faculté de la Confédération de se pourvoir en nullité lorsqu'elle agit au plan pénal en matière de concurrence déloyale n'ait pas été envisagée; la question de savoir si, en pareil cas, elle doit être habilitée à le faire ne semble pas s'être posée. Quoi qu'il en soit, le texte de l'actuel art. 270 let . e PPF mentionne exclusivement la victime au sens de la LAVI et interpréter cette disposition dans le sens que voudrait la recourante reviendrait à conférer au lésé une qualité que la dernière modification légale lui a précisément déniée. Une telle interprétation serait par conséquent contraire tant au texte qu'à l'esprit du nouvel art. 270 let . e PPF; elle serait au demeurant contraire au but poursuivi par le législateur dans la mesure où la modification de cette disposition visait aussi à décharger le Tribunal fédéral (Initiatives parlementaires, Révision partielle de l'organisation judiciaire en vu de décharger le Tribunal fédéral, FF 1999 p. 8863 et 8873). La qualité pour se pourvoir en nullité que l' art. 270 let . e PPF confère à la victime ne saurait dès lors être étendue à la Confédération lorsqu'elle intervient, en application de l' art. 10 al. 2 let . c LCD, au plan pénal en matière de concurrence déloyale. BGE 128 IV 92 S. 96 c) La qualité de cette dernière pour se pourvoir en nullité dans la présente cause ne peut non plus être déduite de l' art. 270 let . f PPF, également en vigueur depuis le 1er janvier 2001, qui ne reconnaît cette qualité au plaignant qu'autant qu'il s'agisse du droit de porter plainte. En l'espèce, la recourante conteste le jugement sur le fond, mais non une éventuelle irrégularité quant à son droit de plainte et ses conditions. Par ailleurs, ni l' art. 27 al. 2 LCD ni l'art. 3 de l'ordonnance réglant la communication des décisions pénales prises par les autorités cantonales du 1er décembre 1999 (RS 312.3) ne prévoient que les décisions pénales en matière de LCD (à l'exception de celles relatives à l'indication des prix au consommateur) soient communiquées au Seco ou au Procureur général de la Confédération, de sorte que la Confédération ne peut non plus agir par l'entremise du Procureur général de la Confédération ( art. 270 let . d ch. 3 PPF). Enfin, la Confédération ne peut pas non plus se prévaloir de l'art. 83 de la loi fédérale du 22 mars 1974 sur le droit pénal administratif (DPA; RS 313.0), applicable dans sa nouvelle teneur depuis le 1er janvier 2002 et qui confère à l'administration concernée le droit de se pourvoir en nullité aux mêmes conditions que le Procureur général de la Confédération (cf. FF 1998 p. 1284). L' art. 27 LCD attribue la poursuite pénale en matière de concurrence déloyale aux cantons et non à l'administration fédérale, rendant ainsi la DPA inapplicable à ce domaine (cf. art. 1 DPA ). A supposer que l'on veuille appliquer cette disposition par analogie aux procédures pénales initiées par la Confédération en matière de concurrence déloyale, le fait que l'ordonnance querellée ait été rendue avant l'entrée en vigueur du nouvel art. 83 DPA s'y oppose, les conditions de recevabilité du pourvoi en nullité devant de toute manière être réunies lorsque la décision entreprise est rendue ( ATF 120 IV 44 consid. 1 p. 46 s.). Au vu de ce qui précède, la qualité de la Confédération pour se pourvoir en nullité doit en l'espèce être niée. Le pourvoi est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