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81</w:t>
      </w:r>
    </w:p>
    <w:p>
      <w:r>
        <w:t>Bundesgericht (BGE), 2002-01-24, FR</w:t>
      </w:r>
    </w:p>
    <w:p>
      <w:r>
        <w:rPr>
          <w:b/>
        </w:rPr>
        <w:t xml:space="preserve">Quelle: </w:t>
      </w:r>
      <w:r>
        <w:t>https://mcp.opencaselaw.ch/entscheid/bge_BGE_128_IV_81</w:t>
      </w:r>
    </w:p>
    <w:p>
      <w:r>
        <w:t>FR: ATF 128 IV 81</w:t>
      </w:r>
    </w:p>
    <w:p>
      <w:r>
        <w:t>IT: DTF 128 IV 81</w:t>
      </w:r>
    </w:p>
    <w:p>
      <w:pPr>
        <w:pStyle w:val="Heading2"/>
      </w:pPr>
      <w:r>
        <w:t>Regeste</w:t>
      </w:r>
    </w:p>
    <w:p>
      <w:r>
        <w:t>Regeste Art. 28 und 186 StGB; Hausfriedensbruch; Tragweite des Strafantrags. Beim Dauerdelikt erstrecken sich die Wirkungen des Strafantrags grundsätzlich auch auf angezeigtes Verhalten, das über den Strafantrag hinaus andauert. So werden auch alle Beteiligten vom Strafantrag miterfasst, die erst nach dessen Stellung am Dauerdelikt teilnehmen (E. 2). Begriff des Verletzten gemäss Art. 28 StGB (E. 3). Der Eigentümerwechsel einer Liegenschaft macht aus einer unrechtmässigen Besetzung keine rechtmässige (E. 4). Unter welchen Voraussetzungen eine Räumung angeordnet wird, ist für die Frage der Unrechtmässigkeit der Besetzung belanglos (E. 5).</w:t>
      </w:r>
    </w:p>
    <w:p>
      <w:r>
        <w:t>Regeste Art. 28 et 186 CP; violation de domicile; portée de la plainte pénale. En cas de délit continu, les effets de la plainte pénale s'étendent en principe également aux faits dénoncés qui perdurent après le dépôt de la plainte. La plainte vaut ainsi également à l'égard de tout participant prenant, postérieurement au dépôt de la plainte, part au délit continu (consid. 2). Rappel de la notion de lésé (art. 28 CP; consid. 3). Le changement de propriétaire d'un immeuble ne rend pas licite une occupation illicite (consid. 4). Les modalités de l'évacuation n'influent pas sur le caractère illicite d'une occupation (consid. 5).</w:t>
      </w:r>
    </w:p>
    <w:p>
      <w:r>
        <w:t>Regesto Art. 28 e 186 CP; violazione di domicilio; portata della querela penale. In caso di reato permanente, gli effetti della querela penale si estendono, in linea di principio, anche ai fatti denunciati che perdurano dopo la querela. Pertanto, la querela concerne ugualmente coloro che partecipano al reato permanente dopo che è stata presentata (consid. 2). Richiamo della nozione di danneggiato (art. 28 CP; consid. 3). Se il proprietario dello stabile cambia, l'occupazione non diviene per questo lecita (consid. 4). Le modalità dello sgombero non influiscono sul carattere illegale dell'occupazione (consid. 5).</w:t>
      </w:r>
    </w:p>
    <w:p>
      <w:pPr>
        <w:pStyle w:val="Heading2"/>
      </w:pPr>
      <w:r>
        <w:t>Erwägungen</w:t>
      </w:r>
    </w:p>
    <w:p>
      <w:r>
        <w:rPr>
          <w:b/>
        </w:rPr>
        <w:t>E. 2</w:t>
      </w:r>
    </w:p>
    <w:p>
      <w:r>
        <w:t>Le recourant reproche en premier lieu à la cour cantonale d'avoir étendu à tort les effets de la plainte pénale de GPR à sa personne, dès lors qu'il aurait commencé à occuper l'immeuble géré par GPR seulement après le dépôt de la plainte pénale. Il fait valoir BGE 128 IV 81 S. 83 que GPR n'a pas manifesté son intention d'étendre sa plainte pénale au-delà du 10 février 1997, laquelle ne saurait donc déployer d'effets à son encontre. a) La plainte pénale au sens des art. 28 ss CP est une déclaration de volonté inconditionnelle par laquelle le lésé demande l'introduction d'une poursuite pénale. Elle constitue ainsi une simple condition de l'ouverture de l'action pénale ( ATF 98 IV 143 consid. 2 p. 146). La violation de domicile est un délit continu (Dauerdelikt), poursuivable aussi longtemps que l'auteur n'a pas quitté les lieux qu'il occupe sans droit, de sorte que le délai de plainte (de trois mois; art. 29 CP ) ne commence à courir que lorsque l'auteur a quitté les lieux ( ATF 118 IV 167 consid. 1c p. 172). En l'occurrence, la plainte a manifestement été déposée avant l'échéance du délai. La plainte pénale est déposée à raison d'un état de fait délictueux déterminé, dans le cas de la violation de domicile à raison de l'occupation d'un lieu contre la volonté de l'ayant droit. Une fois l'action pénale ouverte, l'autorité pénale est saisie "in rem" et non "in personam" (DOMINIQUE PONCET, Le nouveau code de procédure pénale genevois annoté, Genève 1978, p. 194; GÉRARD PIQUEREZ, Traité de procédure pénale bernoise et jurassienne, tome I, Neuchâtel 1983, p. 453). La plainte pénale déposée valablement contre inconnu ou contre l'un (ou certains) des participants vaut aussi contre tous ceux qui, ne serait-ce que durant un certain laps de temps, ont pris part à l'infraction ( ATF 110 IV 87 consid. 1c p. 90; cf. également ATF 80 IV 209 consid. 2 p. 212). Lorsqu'une plainte pénale est déposée alors que le délit continu est toujours en cours de réalisation, les effets de la plainte s'étendent en principe aussi aux faits dénoncés qui perdurent après le dépôt de la plainte. La plainte vaut alors également à l'égard de tout participant qui viendrait, postérieurement au dépôt de plainte, prendre part au délit continu (cf. dans le même sens SCHÖNKE/SCHRÖDER, Strafgesetzbuch, Kommentar, 26e éd., Munich 2001, § 77 n. 45 s.). b) Dans le cas d'espèce, rien n'indique que le plaignant ait voulu limiter sa plainte ni dans le temps ni d'ailleurs à certaines personnes. L'arrêt querellé ne précise pas si le recourant se trouvait dans les locaux occupés illicitement au moment du dépôt de la plainte. Il retient cependant que sa présence sur les lieux a été constatée dans le rapport de police établi trois mois plus tard. De toute manière, le recourant ne conteste pas que pendant un certain laps de temps en tout cas il a occupé les locaux contre la volonté de l'ayant droit. Il a donc pris part à l'infraction dénoncée dans la plainte, qui couvre BGE 128 IV 81 S. 84 aussi son comportement. Fût-elle établie, la circonstance que la durée de son activité délictueuse ait été plus brève que celle des autres participants ne changerait rien au fait qu'il a commis l'infraction. L'élément invoqué demeurerait donc sans incidence sur le verdict de culpabilité; il jouerait tout au plus un rôle pour apprécier l'importance de sa faute, donc pour la fixation de la peine. Ce qui précède vaut mutatis mutandis dans la mesure où le recourant reproche à la dernière instance cantonale d'avoir étendu les effets de la plainte du Crédit Suisse à sa personne.</w:t>
      </w:r>
    </w:p>
    <w:p>
      <w:r>
        <w:rPr>
          <w:b/>
        </w:rPr>
        <w:t>E. 3</w:t>
      </w:r>
    </w:p>
    <w:p>
      <w:r>
        <w:t>En prolongement de son premier grief, le recourant estime que A. ne pouvait pas reprendre à son compte la plainte pénale de GPR; en d'autres termes, A. n'aurait pas valablement déposé plainte pénale. a) Selon l' art. 28 CP , toute personne lésée peut porter plainte. Le lésé au sens de l' art. 28 CP est celui dont le bien juridique est directement atteint par l'infraction. L'interprétation de l'infraction en cause permettra seule de déterminer quel est le titulaire du bien juridique protégé ( ATF 118 IV 209 consid. 2 p. 211). La violation de domicile est un délit contre la liberté. Plus particulièrement, le bien protégé est la liberté du domicile qui comprend la faculté de régner sur des lieux déterminés sans être troublé et d'y manifester librement sa propre volonté. La liberté du domicile appartient donc à celui qui a le pouvoir de disposer des lieux que ce soit en vertu d'un droit réel ou personnel ou encore d'un rapport de droit public ( ATF 118 IV 167 consid. 1c p. 172; ATF 112 IV 31 consid. 3 p. 33). Il convient ainsi d'examiner dans le cas d'espèce si A. disposait d'un droit réel ou personnel sur l'immeuble occupé. En principe, le transfert de propriété s'opère au moment de l'inscription au grand livre (STEINAUER, Les droits réels, tome I, Fribourg 1990, n. 713). Toutefois, lorsque l'acquisition a eu lieu par voie d'exécution forcée, le transfert de propriété intervient au moment de l'adjudication ( art. 656 CC ; art. 66 al. 1 ORFI [RS 281.42]; STEINAUER, Les droits réels, tome II, n. 1586). b) Selon les constatations de faits cantonales, A. a acquis l'immeuble à l'occasion d'enchères forcées en date du 10 décembre 1998. Dès cette date, il avait qualité de lésé au sens de l' art. 28 CP et, partant, était habilité à porter plainte. Quant à la question de savoir si A. a accompli les démarches nécessaires pour se conformer aux exigences de forme auxquelles la plainte pénale doit satisfaire, elle relève du droit cantonal, dont la violation directe ne peut être invoquée dans un pourvoi en nullité BGE 128 IV 81 S. 85 ( art. 269 PPF [RS 312.0]; ATF 123 IV 202 consid. 1 p. 204 s.; ATF 118 IV 167 consid. 1 p. 169).</w:t>
      </w:r>
    </w:p>
    <w:p>
      <w:r>
        <w:rPr>
          <w:b/>
        </w:rPr>
        <w:t>E. 4</w:t>
      </w:r>
    </w:p>
    <w:p>
      <w:r>
        <w:t>Le recourant soutient encore qu'il n'a commis aucune violation de domicile à l'encontre de A. dès lors que celui-ci n'aurait pas manifesté aux squatters son intention de les voir quitter l'immeuble avant la date de l'évacuation. a) La violation de domicile peut revêtir deux formes: soit l'auteur pénètre dans les lieux contre la volonté de l'ayant droit, soit il y demeure au mépris de l'injonction de sortir à lui adressée par l'ayant droit. S'agissant de la première hypothèse, l'infraction est consommée dès que l'auteur s'introduit contre la volonté de l'ayant droit dans le domaine clos ( ATF 87 IV 122 ). La Cour de céans a précisé qu'il y a intrusion illicite lorsque l'auteur pénètre dans un local sans autorisation de celui qui a le pouvoir d'en disposer ( ATF 108 IV 33 consid. 5c). La volonté de l'ayant droit d'autoriser l'accès peut être manifestée oralement, par écrit, par geste ou résulter des circonstances. Dans ce dernier cas, il faut examiner si la volonté de l'ayant droit était suffisamment reconnaissable en fonction des circonstances (BERNARD CORBOZ, Les principales infractions, vol. I, Berne 1997, p. 258). La seconde hypothèse de l'article 186 CP vise le cas où l'auteur est déjà dans les lieux et n'y a pas pénétré contre la volonté de l'ayant droit. L'infraction est alors commise lorsque, malgré l'ordre intimé par l'ayant droit à l'auteur, ce dernier ne quitte pas les lieux (BERNARD CORBOZ, op. cit., p. 255). b) Le recourant admet avoir occupé pendant un certain laps de temps un appartement de l'immeuble sis au no 10, rue de la Ferme, avant l'acquisition de ce dernier par A., et y être demeuré jusqu'au 4 janvier 1999. A juste titre, il ne prétend pas que le premier propriétaire, représenté par GPR, aurait donné son accord à l'occupation des appartements du 10, rue de la Ferme. L'occupation des lieux s'est donc faite contre la volonté du premier propriétaire (première hypothèse de l' art. 186 CP ). Contrairement à ce que soutient le recourant, le changement de propriétaire n'a pas rendu licite l'occupation illicite. Certes, ce changement a opéré une modification en la personne de l'ayant droit. Il n'a toutefois pas conféré aux occupants de titre juridique qui leur donnerait un droit de jouissance des lieux. L'on ne saurait inférer du changement de propriétaire une sorte d'autorisation implicite du nouveau propriétaire à ce que les squatters demeurent dans les lieux. A. a au demeurant immédiatement manifesté son désaccord en déposant plainte le 11 décembre 1998 et la police a très rapidement informé les squatters de l'évacuation prochaine de l'immeuble. BGE 128 IV 81 S. 86 Pour le surplus, il est évident que le fait que la police ait fixé la date d'évacuation de l'immeuble au 5 janvier 1999 ne signifie nullement que A. acceptait que les squatters restent dans son immeuble jusqu'à cette date.</w:t>
      </w:r>
    </w:p>
    <w:p>
      <w:r>
        <w:rPr>
          <w:b/>
        </w:rPr>
        <w:t>E. 5</w:t>
      </w:r>
    </w:p>
    <w:p>
      <w:r>
        <w:t>Le recourant se prévaut d'une "erreur de fait ou de droit". Il allègue avoir cru que son comportement illicite cessait de l'être dès l'acquisition de l'immeuble par un nouveau propriétaire, citant à l'appui un jugement du Tribunal de police rendu le 15 décembre 1998. Ce jugement aurait largement circulé dans le milieu des squatters. Il fait également valoir que la pratique, selon lui notoire, du Procureur général de Genève de n'ordonner l'évacuation d'immeubles occupés illicitement que si une autorisation de démolir et de construire est entrée en force était de nature à l'induire en erreur sur le caractère illicite de l'occupation jusqu'à la date de l'évacuation. a) Sous réserve d'une inadvertance manifeste, la Cour de cassation est liée par les constatations de fait de l'autorité cantonale ( art. 277bis al. 1 PPF ). Le recourant ne peut pas présenter de griefs contre les constatations de fait, ni de faits ou de moyens de preuve nouveaux ( art. 273 al. 1 let. b PPF ). b) Il ne ressort pas de l'arrêt cantonal attaqué que le recourant aurait invoqué une quelconque erreur ni qu'une erreur aurait été constatée. Il n'est par ailleurs pas établi non plus si et à quelle date le recourant aurait eu connaissance du jugement motivé du Tribunal de police du 15 décembre 1998. En tant que le recourant fonde son grief sur des faits non constatés par l'arrêt cantonal, celui-ci est irrecevable. Quant à la pratique, fût-elle notoire, du Procureur général de retarder l'évacuation d'immeubles squattés jusqu'à la décision définitive de démolir et de construire, il est évident qu'elle est sans influence sur le caractère illicite de l'occupation.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