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53</w:t>
      </w:r>
    </w:p>
    <w:p>
      <w:r>
        <w:t>Bundesgericht (BGE), 2002-05-14, FR</w:t>
      </w:r>
    </w:p>
    <w:p>
      <w:r>
        <w:rPr>
          <w:b/>
        </w:rPr>
        <w:t xml:space="preserve">Quelle: </w:t>
      </w:r>
      <w:r>
        <w:t>https://mcp.opencaselaw.ch/entscheid/bge_BGE_128_IV_53</w:t>
      </w:r>
    </w:p>
    <w:p>
      <w:r>
        <w:t>FR: ATF 128 IV 53</w:t>
      </w:r>
    </w:p>
    <w:p>
      <w:r>
        <w:t>IT: DTF 128 IV 53</w:t>
      </w:r>
    </w:p>
    <w:p>
      <w:pPr>
        <w:pStyle w:val="Heading2"/>
      </w:pPr>
      <w:r>
        <w:t>Regeste</w:t>
      </w:r>
    </w:p>
    <w:p>
      <w:r>
        <w:t>Regeste Art. 173, 64, 27 StGB, Art. 49 OR, Art. 271 Abs. 2 BStP, Art. 47 Abs. 1 OG; üble Nachrede, achtungswerte Beweggründe, Mediendelikt, Zivilansprüche, Genugtuung. Wer eine Plakatkampagne anonym führt, kann sich nicht auf die Rechtsprechung berufen, wonach in der politischen Diskussion nur mit Zurückhaltung auf eine Ehrverletzung zu erkennen ist (E. 1d). Die Art und Weise der Deliktsbegehung kann selbst noch so achtungswerte Beweggründe in den Hintergrund drängen (E. 3). Wer im Rahmen der Herstellung und Verbreitung eines strafrechtlich relevanten Medienerzeugnisses ausschliesslich dessen Veröffentlichung übernimmt, ist für das Mediendelikt nicht subsidiär verantwortlich (E. 5e). Legitimationsvoraussetzungen zur Nichtigkeitsbeschwerde im Zivilpunkt; Berechnung des Streitwerts (E. 6 und 8). Genugtuung als Folge einer Ehrverletzung (E. 7). Die Anwendung der medienrechtlichen Sonderregelung des Art. 27 StGB hat keine Auswirkungen auf die Zivilansprüche der Verletzten (E. 8).</w:t>
      </w:r>
    </w:p>
    <w:p>
      <w:r>
        <w:t>Regeste Art. 173, 64, 27 CP, art. 49 CO, art. 271 al. 2 PPF, art. 47 al. 1 OJ; diffamation, mobiles honorables, délit de presse (de média), prétentions civiles, réparation morale. Celui qui mène une campagne d'affiches de manière anonyme ne peut se prévaloir de la jurisprudence imposant une retenue dans la sanction des atteintes à l'honneur commises dans le débat politique (consid. 1d). La manière d'agir peut reléguer à l'arrière-plan les mobiles, aussi honorables soient-ils (consid. 3). Celui qui, dans le cadre de sa fonction dans la chaîne de production et de diffusion, se limite à distribuer dans le public un écrit constitutif d'une infraction, n'est pas responsable à titre subsidiaire d'un délit de presse (de média) (consid. 5e). Conditions de recevabilité du pourvoi sur l'action civile; calcul de la valeur litigieuse (consid. 6 et 8). Réparation morale suite à une atteinte à l'honneur (consid. 7). L'application du régime spécial de l'art. 27 CP est sans incidence sur les prétentions civiles des lésées (consid. 8).</w:t>
      </w:r>
    </w:p>
    <w:p>
      <w:r>
        <w:t>Regesto Art. 173, 64, 27 CP, art. 49 CO, art. 271 cpv. 2 PP, art. 47 cpv. 1 OG; diffamazione, motivi onorevoli, reato commesso con il mezzo della stampa (dei media), pretese civili, riparazione morale. Chi conduce in modo anonimo una campagna con dei manifesti non può prevalersi della giurisprudenza che impone un riserbo per le sanzioni per oltraggi all'onore perpetrati nell'ambito di un dibattito politico (consid. 1d). Il modo di agire può relegare in secondo piano il movente, anche se nobile (consid. 3). Chi, in seno alla sua funzione nella catena di produzione e distribuzione, si limita a diffondere presso il pubblico uno scritto costitutivo di un reato non è responsabile a titolo sussidiario di un delitto commesso con il mezzo della stampa (dei media) (consid. 5e). Condizioni di ammissibilità del ricorso per cassazione sulle conclusioni civili; calcolo del valore litigioso (consid. 6 e 8). Riparazione morale in seguito a oltraggio all'onore (consid. 7). L'applicazione del regime speciale dell'art. 27 CP non incide sulle pretese civili dei danneggiati (consid. 8).</w:t>
      </w:r>
    </w:p>
    <w:p>
      <w:pPr>
        <w:pStyle w:val="Heading2"/>
      </w:pPr>
      <w:r>
        <w:t>Erwägungen</w:t>
      </w:r>
    </w:p>
    <w:p>
      <w:r>
        <w:rPr>
          <w:b/>
        </w:rPr>
        <w:t>E. 1</w:t>
      </w:r>
    </w:p>
    <w:p>
      <w:r>
        <w:t>a) L' art. 173 ch. 1 CP réprime le comportement de celui qui, en s'adressant à un tiers, aura accusé une personne ou jeté sur elle BGE 128 IV 53 S. 58 le soupçon de tenir une conduite contraire à l'honneur, ou de tout autre fait propre à porter atteinte à sa considération, ou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Dans la discussion politique, l'atteinte à l'honneur punissable n'est admise qu'avec retenue ( ATF 118 IV 248 consid. 2b p. 251) et, en cas de doute, doit être niée ( ATF 116 IV 146 consid. 3c p. 150). La liberté d'expression indispensable à la démocratie implique que les acteurs de la lutte politique acceptent de s'exposer à une critique publique, parfois même violente, de leurs opinions (BERNARD CORBOZ, Les principales infractions, Berne 1997, n. 10 ad art. 173 CP ). Il ne suffit pas d'abaisser une personne dans la bonne opinion qu'elle a d'elle-même ou dans les qualités politiques qu'elle croit avoir. Echappent ainsi à la répression les assertions qui, sans faire apparaître la personne comme méprisable, sont seulement propres à ternir la réputation dont elle jouit comme politicien ou à ébranler la confiance qu'elle a en elle-même par une critique la visant en tant que politicien ( ATF 119 IV 44 consid. 2a p. 47 et les arrêts cités). La critique ou l'attaque porte toutefois atteinte à l'honneur protégé par le droit pénal si, sur le fond ou dans la forme, elle ne se limite pas à rabaisser les qualités de l'homme politique et la valeur de son action, mais est également propre à l'exposer au mépris en tant qu'être humain ( ATF 105 IV 194 consid. 2a p. 196; BERNARD CORBOZ, loc. cit.). Pour apprécier si une déclaration est attentatoire à l'honneur, il faut se fonder non pas sur le sens que lui donne la personne visée, mais sur une interprétation objective selon le sens qu'un destinataire non prévenu doit, dans les circonstances d'espèce, lui attribuer ( ATF 121 IV 76 consid. 2a/bb p. 82; ATF 119 IV 44 consid. 2a p. 47; ATF 118 IV 248 consid. 2b p. 251; ATF 117 IV 27 consid. 2c p. 29 s.). S'agissant d'un texte, il doit être analysé non seulement en fonction des expressions utilisées, prises séparément, mais aussi selon le sens général qui se dégage du texte dans son ensemble ( ATF 117 IV 27 consid. 2c p. 30; ATF 115 IV 42 consid. 1c p. 44; MARTIN SCHUBARTH, Grundfragen des Medienstrafrechtes im Lichte der neueren bundesgerichtlichen Rechtsprechung, in RPS 113/1995, p. 155). Les propos que tiennent des adversaires politiques dans le cadre d'un débat engagé ne doivent BGE 128 IV 53 S. 59 cependant pas toujours être pris au pied de la lettre, car ils dépassent souvent la pensée de leurs auteurs. Par ailleurs, le public concerné par le débat ne tire guère des tracts qu'il lit ou des discours qu'il entend de réels motifs de suspicion à l'endroit des personnes visées, à moins que ceux-ci soient énoncés avec clarté et fondés sur des accusations précises ( ATF 105 IV 194 consid. 2a p. 196). b) La décision attaquée retient que les termes de l'affiche ne se bornaient pas à critiquer l'activité politique des intimées, mais s'en prenaient à la réputation de celles-ci, en tant que femmes dignes de considération. Le texte en caractères gras "Elles veulent une culture de la mort en Suisse!" évoque, dans l'esprit d'un lecteur non prévenu, l'accusation de violence et de meurtre. Cette accusation est renforcée par l'image en grand format d'un avorton bien développé, baignant dans le sang, dont la mort est attribuée à des méthodes effroyables, décrites de manière précise. L'ensemble de l'affiche suggère au lecteur non prévenu que les intimées souscrivent à une solution où le foetus, à un stade proche du terme, est empoisonné, découpé ou abandonné dans une poubelle. La proximité entre la citation ayant trait à l'ordure et la désignation des intimées rappelle le comportement indigne reproché à celles-ci. Ces éléments pris dans leur ensemble font comprendre que les intimées encouragent des traitements dégradants et sont, partant, dépourvues de sens moral, les rendant ainsi méprisables comme êtres humains. c) Le recourant 1 fait valoir que les affiches ne portent pas atteinte à l'honneur des intimées (exception faite du terme "ordure" qu'il reconnaît être injurieux). Les indications figurant sur l'affiche (identité, appartenance politique des intimées, affirmation que celles-ci mènent le même combat, que ce combat se rapporte à l'avortement, ce qu'illustrent la photo du foetus et le mot "avortement", la description des méthodes d'avortement) sont des allégations de fait, qui ne sont ni fausses ni diffamantes. Seule la référence à "une culture de la mort", peut, selon le recourant 1, donner lieu à discussion au regard d'une éventuelle atteinte à l'honneur des intimées. Elle ne tend toutefois pas à accuser les intimées de pratiquer elles-mêmes les méthodes d'avortement décrites, mais indique que celles-ci sont prêtes à tolérer une culture qui permet l'application de ces méthodes. Cette affirmation résulte des prises de position publiques des intimées qui sont favorables à une opinion qui ne défend plus la vie aussi inconditionnellement que le fait l' art. 120 CP . Si elle peut choquer, cette affirmation n'est pas diffamatoire, en particulier pas lorsqu'elle est prononcée dans le cadre d'un débat politique ayant précisément trait à la protection de la vie. BGE 128 IV 53 S. 60 d) Il a certes été établi que l'affiche s'inscrivait dans le cadre d'un débat politique, particulièrement animé en Valais, au sujet de la réglementation de l'interruption volontaire de grossesse (IVG). Le recourant 1 ne saurait toutefois, en l'espèce, se prévaloir de la jurisprudence qui ne sanctionne qu'avec retenue les excès de langage commis dans la discussion politique. Le débat public est l'âme de la démocratie directe. Il doit être mené de manière équitable ("fair"; cf. Rapport de la Commission des institutions politiques du Conseil national relatif à l'initiative parlementaire lancée par Judith Stamm visant à instituer une autorité de recours en matière de campagnes de votations, FF 2002 p. 382). Le déroulement d'un débat politique équitable implique notamment que l'identité des auteurs de tracts ou d'affiches apparaisse sur ces écrits (cf. MAX IMBODEN, Helvetisches Malaise, Zurich 1964, p. 41). Celui qui ne se tient pas à cette règle élémentaire du débat public et mène une campagne en se retranchant intentionnellement derrière l'anonymat n'est ainsi pas fondé à se prévaloir de la jurisprudence imposant une retenue dans la sanction des atteintes à l'honneur commises dans le débat politique. Le recourant 1 a joué la surprise lorsqu'il a été interrogé par un journaliste au sujet des affiches qu'il avait conçues et dont il avait organisé la pose. Il est ainsi évident que si les affiches ne portent aucune trace de leur(s) auteur(s), ce n'est pas par oubli ou inadvertance, mais intentionnellement. Il convient donc d'examiner, sans retenue particulière, si le contenu de l'affiche est attentatoire à l'honneur des intimées. e) Selon la jurisprudence rappelée ci-dessus (cf. supra, let. a), un texte doit être analysé non seulement en fonction des expressions utilisées, prises séparément, mais aussi selon le sens général qui se dégage du texte dans son ensemble. La phrase "elles veulent une culture de la mort" ne peut ainsi être examinée isolément, comme le voudrait le recourant 1. Elle doit être mise en relation avec les autres éléments de l'affiche, notamment la photographie en couleur d'un foetus ensanglanté. Selon les constatations de fait cantonales, qui lient la Cour de céans ( art. 277bis PPF [RS 312.0]), il s'agit d'un foetus âgé de 20 semaines. Or, il ne ressort pas de l'état de fait que les trois politiciennes se seraient prononcées pour des IVG pratiquées à la 20ème semaine. La photo choisie et le texte l'accompagnant véhiculent le message que les intimées souscrivent à une "culture de mort" dans laquelle des foetus en âge de gestation avancé sont mis à mort par empoisonnement, découpage ou abandon dans une poubelle. L'affiche évoque la violence, la cruauté et l'accusation de consentir BGE 128 IV 53 S. 61 à des traitements effroyables pratiqués sur des foetus bien développés. La référence à l'ordure souligne encore le caractère répugnant du comportement reproché. Ces accusations laissent apparaître les trois politiciennes comme des personnes cruelles et sans scrupule. Aussi, l'accusation de vouloir pour la Suisse une culture de la mort laisse-t-elle apparaître les intimées comme des personnes dépourvues de toute capacité ou volonté d'agir de manière responsable pour le bien commun. Affirmer, photographie d'un foetus sanguinolent à l'appui, qu'une politicienne mène un combat pour que soit instaurée une culture de la mort en Suisse, revient en effet à lui dénier tout sens de la responsabilité du bien commun dont la sauvegarde lui est confiée et à lui reprocher des tendances perverses, sinon meurtrières, la rendant certainement méprisable. Le contenu de l'affiche est par conséquent attentatoire à l'honneur des trois politiciennes visées. f) Le recourant 1 estime que, dans l'hypothèse où l'atteinte à l'honneur devrait être retenue, le comportement reproché doit être qualifié d'injure et non de diffamation, l'affiche ne contenant pas d'allégations de fait attentatoires à l'honneur, mais tout au plus un jugement de valeur répréhensible. aa) Alors que la diffamation ou la calomnie supposent une allégation de fait, un jugement de valeur, adressé à des tiers ou à la victime, peut constituer une injure au sens de l' art. 177 CP ( ATF 117 IV 27 consid. 2c p. 29 et les arrêts cités). Pour distinguer l'allégation de fait du jugement de valeur, il faut se demander, en fonction des circonstances, si les termes litigieux ont un rapport reconnaissable avec un fait ou sont employés pour exprimer le mépris (GÜNTER STRATENWERTH, Schweizerisches Strafrecht, Besonderer Teil I, Berne 1995, n. 19 ad § 11). La notion de jugement de valeur doit être comprise dans un sens large; il s'agit d'une manifestation directe de mésestime ou de mépris, au moyen de mots blessants, de gestes ou de voies de fait (MARTIN SCHUBARTH, Kommentar zum schweizerischen Strafrecht, vol. III, Berne 1984, n. 7 et 8 ad art. 177 CP ). L'honneur protégé correspond alors à un droit au respect formel, ce qui conduit à la répression des injures dites formelles, tels l'expression outrageante, des termes de mépris ou des invectives (PAUL LOGOZ, Partie spéciale I, Neuchâtel 1955, p. 255; ALAIN STEULLET, La victime de l'atteinte à l'honneur, thèse Neuchâtel 1983, p. 35). bb) L'accusation de vouloir une culture de la mort, à l'appui de la photo figurant sur l'affiche, revient à alléguer que les intimées souscrivent au découpage, à l'empoisonnement ou à l'abandon dans une poubelle de foetus bien développés. Par ailleurs, l'expression BGE 128 IV 53 S. 62 "culture de la mort" ne contient pas d'invective et n'est pas non plus un terme grossier dont il conviendrait de déterminer s'il est propre à attaquer la victime dans son honneur. L'expression litigieuse constitue par conséquent une allégation de fait et non un jugement de valeur. Le recourant 1 reconnaît que les autres termes utilisés dans l'affiche sont des allégations de fait, à l'exception du terme "ordure" qu'il admet être injurieux. L' art. 177 CP étant subsidiaire par rapport à l' art. 173 CP (BERNARD CORBOZ, op. cit., n. 1 ad art. 177 CP ), le terme injurieux d'ordure n'a pas de portée propre dans la diffamation commise en l'espèce. g) Le Tribunal cantonal a, sans procéder à des enquêtes, fait état de documents scientifiques et gynécologiques pour décrire les méthodes d'IVG. Le recourant 1 en déduit qu'il s'agit d'éléments d'expérience générale de la vie, soit de questions de droit pouvant être revues par la Cour de céans. Selon lui, l'affiche ne contenait qu'une vulgarisation de termes scientifiques décrivant des méthodes d'avortement. La question de savoir si la connaissance des différentes méthodes d'IVG fait partie des choses que l'expérience générale de la vie enseigne, peut rester indécise. D'une part, le recourant 1 n'expose pas en quoi les explications données à cet égard par l'arrêt querellé seraient erronées. D'autre part et vérification faite des ouvrages médicaux cités par l'autorité cantonale, il n'apparaît pas que les indications données par cette dernière soient incorrectes.</w:t>
      </w:r>
    </w:p>
    <w:p>
      <w:r>
        <w:rPr>
          <w:b/>
        </w:rPr>
        <w:t>E. 2</w:t>
      </w:r>
    </w:p>
    <w:p>
      <w:r>
        <w:t>a) L' art. 173 ch. 2 CP dispose que l'inculpé n'encourra aucune peine s'il prouve que les allégations qu'il a articulées ou propagées sont conformes à la vérité ou qu'il avait des raisons sérieuses de les tenir de bonne foi pour vraies. L'accusé apporte la preuve de sa bonne foi s'il démontre qu'il a accompli les actes que l'on pouvait exiger de lui pour contrôler la véracité de ce qu'il alléguait. Une prudence particulière doit être exigée de celui qui donne une large diffusion à ses allégations ( ATF 124 IV 149 consid. 3b p. 151; ATF 116 IV 205 consid. 3b p. 208). b) Le recourant 1 se réfère à la brochure "La Vie", qui relate les méthodes d'avortement figurant sur l'affiche; il fait valoir qu'il s'agit d'une revue sérieuse des opposants à l'avortement et qu'il pouvait, de bonne foi, tenir pour vrais les renseignements tirés de cette revue. Il se réfère également à la lettre encyclique du Pape Jean-Paul II "Evangelium Vitae" où l'expression "culture de la mort" est utilisée à plusieurs reprises et opposée à celle de "culture de vie"; il soutient que l'on ne saurait retenir, alors qu'il se fondait sur un document aussi important qu'une lettre encyclique papale, qu'il n'avait BGE 128 IV 53 S. 63 pas de raisons sérieuses de tenir de bonne foi pour vraies les expressions qui lui sont reprochées. c) Il résulte de l'arrêt cantonal que l'affiche contenait des indications contraires à la vérité. Cette constatation de fait lie la Cour de céans saisie d'un pourvoi en nullité et ne peut être contestée dans le cadre de cette voie de droit (art. 273 al. 1 let. b et 277bis al. 1 2ème phrase PPF). Le Tribunal cantonal retient également que le recourant 1 a choisi la photo et les textes parmi les plus violents de la brochure "La Vie". La photographie sélectionnée n'est en outre pas accompagnée d'une légende précisant l'âge du foetus. Sur la base de ces constatations, aucune violation du droit fédéral ne peut être reprochée à l'autorité cantonale lorsqu'elle retient que le recourant 1 n'avait pas, de bonne foi, de raisons sérieuses de tenir les propos litigieux pour vrais. Le recourant 1 erre en outre lorsqu'il estime avoir apporté la preuve de sa bonne foi en citant l'encyclique papale qui utilise l'expression de "culture de la mort". Il fait en effet abstraction du contexte dans lequel l'expression litigieuse est utilisée. Le terme "culture de la mort" a en effet un impact qui diffère selon qu'il est opposé à l'expression "culture de vie" dans un écrit à caractère religieux ou qu'il est associé à un foetus bien développé sanguinolent, pour lequel se pose la question de savoir s'il doit être découpé, empoisonné ou abandonné dans une poubelle, et que l'on y ajoute une référence à l'ordure. La décision attaquée ne viole donc pas le droit fédéral en tant qu'elle considère que le recourant 1 n'a pas apporté la preuve de la vérité ni celle de sa bonne foi. Le grief, pour autant qu'il soit recevable, est par conséquent infondé.</w:t>
      </w:r>
    </w:p>
    <w:p>
      <w:r>
        <w:rPr>
          <w:b/>
        </w:rPr>
        <w:t>E. 3</w:t>
      </w:r>
    </w:p>
    <w:p>
      <w:r>
        <w:t>Le recourant 1 soutient encore qu'il doit être mis au bénéfice de la circonstance atténuante d'avoir cédé à un mobile honorable au sens de l' art. 64 CP . a) Déterminer les mobiles de l'auteur est une question de fait ( ATF 107 IV 29 consid. 2a p. 30). Les constatations de l'autorité cantonale à cet égard lient donc la Cour de céans ( art. 277bis al. 1 PPF ). Savoir si les mobiles retenus sont honorables est en revanche une question de droit fédéral ( art. 64 CP ), qui peut être soulevée dans le cadre du pourvoi en nullité ( ATF 107 IV 29 consid. 2a p. 30). Le caractère honorable des mobiles s'apprécie d'après l'échelle des valeurs éthiques reconnues par la collectivité dans son ensemble ( ATF 101 IV 387 consid. 2b p. 390 et les références citées). Pour être qualifié d'honorable, il ne suffit pas que le mobile ne soit pas critiquable sur le plan moral, il faut encore qu'il se situe dans la partie BGE 128 IV 53 S. 64 supérieure des valeurs éthiques. Le mobile politique n'est pas en soi un mobile honorable; il peut l'être, mais il peut aussi être éthiquement neutre ou condamnable ( ATF 107 IV 29 consid. 2a p. 30). De toute façon, le mobile honorable n'est qu'un des éléments subjectifs de l'infraction; dans l'appréciation de la peine, il peut être rejeté complètement dans l'ombre par les autres circonstances de l'infraction comme, notamment, la manière dont celle-ci a été commise, le but visé, la perversité particulière. Le juge peut alors se borner à tenir compte du mobile honorable dans le cadre de l' art. 63 CP , sans appliquer l' art. 64 CP (arrêt Str. 311/1982 du 24 novembre 1982, reproduit in SJ 1983 p. 278). b) Le recourant 1 soutient que son mobile était parfaitement honorable, puisqu'il s'agissait de défendre la vie prénatale. Aussi, son action n'était nullement disproportionnée au regard du meurtre d'innocents qu'il dénonce et de l'infraction qui lui est reprochée. c) L'arrêt cantonal a exclu le bénéfice du mobile honorable au motif que le recourant 1 a agi de manière anonyme, procédant à une attaque ciblée sur les trois politiciennes et fondant sa campagne sur le mépris. Cette appréciation ne viole pas l' art. 64 CP . La manière d'agir relègue en l'occurrence à l'arrière-plan les mobiles, aussi honorables fussent-ils, ayant conduit le recourant 1 à entreprendre la campagne reprochée. Le fait de mener la campagne de manière anonyme révèle en effet une lâcheté qui rejette dans l'ombre les mobiles invoqués. Les personnes expressément visées par cette campagne étaient, de manière intentionnelle, privées de la possibilité de riposter à l'attaque, qui pourtant voulait s'inscrire dans le cadre du débat public; il est difficile de répondre à une personne ou à un groupement dont on ne connaît ni l'identité ni l'adresse. Le recourant aurait au demeurant pu interpeller l'opinion publique par des tracts choquants ou provocateurs sans y faire figurer ni le nom des intimées ni une photographie trompeuse laissant croire qu'il s'agissait d'un foetus de 12 ou 14 semaines. Au vu de ce qui précède, c'est à juste titre que l'autorité cantonale a refusé le bénéfice de la circonstance atténuante du mobile honorable. B. Pourvoi en nullité des autres recourants (ci-après: recourants 2 à 11)</w:t>
      </w:r>
    </w:p>
    <w:p>
      <w:r>
        <w:rPr>
          <w:b/>
        </w:rPr>
        <w:t>E. 4</w:t>
      </w:r>
    </w:p>
    <w:p>
      <w:r>
        <w:t>Ce qui a été exposé aux considérants 1 et 2 ci-dessus vaut mutatis mutandis pour les recourants 2 à 11, en ce qui concerne le caractère attentatoire à l'honneur des intimées et la réalisation des éléments constitutifs de la diffamation. BGE 128 IV 53 S. 65</w:t>
      </w:r>
    </w:p>
    <w:p>
      <w:r>
        <w:rPr>
          <w:b/>
        </w:rPr>
        <w:t>E. 5</w:t>
      </w:r>
    </w:p>
    <w:p>
      <w:r>
        <w:t>a) De l'avis des recourants 2 à 11, auxquels il est reproché d'avoir collé les affiches incriminées, ils peuvent se prévaloir de l' art. 27 CP ainsi que de la doctrine et de la jurisprudence y relatives, qui admettent que les personnes indispensables à la diffusion d'un texte imprimé ne sont pas punissables. Les intimées objectent qu'un délit de presse est consommé par la publication de l'écrit incriminé; l'atteinte à l'honneur n'a en l'espèce pas été réalisée par la seule publication des affiches; les colleurs d'affiches ont contribué de manière décisive à la réalisation de cette infraction et doivent ainsi être condamnés pour complicité de diffamation. L'arrêt attaqué considère que l' art. 27 CP ne trouve pas application en l'espèce, dès lors que les recourants 2 à 11 ne travaillent pas au service d'une entreprise de presse et que l'infraction n'était pas consommée par la publication, mais par l'activité des colleurs d'affiches qui les ont diffusées dans le canton. b) L' art. 27 CP , dans sa teneur applicable au moment des faits, prévoyait que "lorsqu'une infraction aura été commise par la voie de la presse et consommée par la publication elle-même, l'auteur de l'écrit en sera seul responsable, sous réserve des dispositions ci-après." Comme tant l'ancien que le nouvel art. 27 CP énoncent le principe d'un régime spécial de responsabilité pénale en matière de délits de presse (de media) et qu'il s'agit avant tout de déterminer si l'infraction en cause est soumise à ce régime, on peut se dispenser à ce stade d'examiner la question du droit le plus favorable aux recourants ayant collé les affiches. c) Pour que l' art. 27 CP soit applicable, il faut que l'infraction en cause constitue un délit de presse, soit qu'elle ait été commise par la voie de la presse (par un media, selon le nouveau droit), qu'il y ait publication, puis que l'infraction soit consommée par la publication ( ATF 125 IV 206 consid. 3b p. 211). La notion de presse doit être comprise dans un sens large (cf. DENIS BARRELET, Droit de la communication, Berne 1998, p. 332). Elle englobe tout écrit reproduit par un moyen mécanique permettant d'établir facilement un grand nombre d'exemplaires ( ATF 74 IV 129 consid. 2 p. 130). Des écrits tels que affiches, tracts, feuillets publicitaires et prospectus entrent dans cette définition (DENIS BARRELET, op. cit., p. 332; ATF 117 IV 364 consid. 2b p. 365). Par publication, il faut entendre que l'écrit soit mis à disposition du public. Il n'est cependant pas nécessaire qu'il ait effectivement été répandu de manière large. Un écrit est déjà publié lorsqu'il n'est répandu que dans un cercle limité, à condition qu'il ne soit pas remis BGE 128 IV 53 S. 66 seulement à des personnes déterminées, mais, à l'intérieur du cercle, à quiconque s'y intéresse ( ATF 74 IV 129 consid. 2 p. 131; ATF 82 IV 71 consid. 4 p. 80). Les infractions commises par voie de presse ne constituent pas toutes un délit de presse. Seules les infractions consommées par la publication tombent sous le coup de l' art. 27 CP . Tel est notamment le cas de l'atteinte à l'honneur, qui est consommée au moment de la publication ( ATF 125 IV 206 consid. 3b p. 211 et la jurisprudence citée). d) En l'espèce, les affiches ont été réalisées sur la base d'une maquette établie au moyen d'un ordinateur et d'un scanner, puis imprimées en 2'000 exemplaires par un imprimeur professionnel. Il s'agit donc bien d'écrits répondant à la notion de presse au sens de l' art. 27 CP . Les affiches ont été posées sur des supports de la SGA ou sur des abribus, soit aux endroits le mieux exposés au regard du public. Elles s'adressaient à une grande partie des habitants du canton du Valais ou en tout cas au plus grand nombre possible d'entre eux. L'infraction a été consommée au moment où les affiches ont été collées sur les supports; c'est alors qu'elles ont été rendues publiques. Peu importe que le jour suivant la plupart de celles-ci aient été enlevées par les patrouilles de gendarmerie. L' art. 27 CP est donc applicable. e) Reste à examiner quel rôle chacun des recourants a joué, afin de déterminer s'il a agi en tant qu'auteur ou participant au délit de presse. L'auteur d'un écrit est notamment celui qui le conçoit et le rédige lui-même ou le fait rédiger par un tiers ou encore le transmet à la presse pour publication comme étant l'expression de sa pensée ( ATF 73 IV 218 consid. 2 p. 220). Le traducteur, s'il ne modifie pas le sens du texte, n'est pas auteur ( ATF 82 IV 71 consid. 1 p. 76). Si l'écrit est le fruit d'une collaboration entre plusieurs auteurs, ils seront tous poursuivis (DENIS BARRELET, op. cit., p. 331). En principe, lorsque le ou les auteurs d'une infraction commise et consommée sous forme de publication par voie de presse (ou par un media; art. 27 CP ) sont connus, ils sont seuls punissables ( art. 27 al. 1 CP ). Le législateur a choisi le système de responsabilité particulière de l' art. 27 CP pour, d'une part, permettre à la presse de publier des articles anonymes et, d'autre part, protéger le lésé contre les conséquences de cet anonymat (Message relatif au projet de code pénal suisse du 23 juillet 1918, FF 1918 IV 12). L'expression d'opinions par voie de presse ne devait pas être paralysée par l'application des règles du droit commun sur la participation au délit de presse et il fallait éviter des poursuites lourdes et compliquées pour déterminer la responsabilité individuelle de chaque personne étant intervenue BGE 128 IV 53 S. 67 dans la publication en cause (STEFAN TRECHSEL, Kurzkommentar, Zurich 1997, n. 1 ad art. 27 CP ). Les poursuites devaient ainsi être concentrées sur une personne, qui répondrait seule et exclusivement. Si l'auteur n'était pas découvert, un coupable de remplacement était désigné par la loi; il était punissable indépendamment de sa faute (DENIS BARRELET, op. cit., p. 330; FRANZ RIKLIN, Schweizerisches Presserecht, Berne 1996, p. 150). Selon l'art. 27 aCP, les personnes répondant ainsi en cascade étaient le rédacteur, l'imprimeur, la personne responsable des annonces ou l'éditeur. La révision a maintenu le principe de la responsabilité exclusive de l'auteur, mais abandonné le système de la victime "expiatoire"; en principe, le responsable subsidiaire n'est désormais punissable que s'il ne s'est pas, intentionnellement ou par négligence, opposé à la publication (cf. art. 322bis CP ). Désormais, seuls le rédacteur ou le responsable de la publication peuvent être recherchés à titre subsidiaire. La personne responsable de la publication est celle qui, au sein de l'entreprise de media, exerce effectivement une responsabilité la mettant en mesure d'exercer une surveillance et d'intervenir si nécessaire (Message concernant la modification du code pénal suisse du 17 juin 1996, FF 1996 IV 560). Tant sous l'empire de l'ancien que du nouveau droit, celui qui se limite à distribuer dans le public un écrit constitutif d'une infraction comme le libraire, le kiosquier, le vendeur de journaux, le distributeur de tracts, le colleur d'affiches, le facteur, etc., ne saurait répondre à titre subsidiaire de l'infraction commise. Cela n'implique cependant pas que cette personne devrait répondre selon les règles de droit commun, comme le soutiennent certains auteurs (FRANZ RIKLIN, Kaskadenhaftung - Quo vadis?, in Medialex 2000 p. 207 et les références citées). L' art. 27 CP limite en effet la responsabilité pour infractions commises par voie de presse (de media) au seul auteur de la publication litigieuse et, à titre subsidiaire, à un cercle limité de personnes. La Cour de cassation a précisé que ce privilège s'appliquait aux personnes contribuant dans l'exercice de leurs fonctions à la production ou à la diffusion de l'écrit ( ATF 73 IV 65 p. 67). Il n'est pas nécessaire qu'elles fassent partie d'une entreprise de media ( ATF 74 IV 129 consid. 2 p. 131). Pour CARL LUDWIG (Schweizerisches Presserecht, Bâle 1964, p. 100, 108 s.), le privilège de l' art. 27 CP s'applique également à ceux qui rendent concrètement accessible au public un écrit ("Verbreiter"). HANS SCHULTZ (Strafrecht, Allgemeiner Teil, vol. I, Berne 1982, p. 310) voit dans le fait de distribuer un écrit constitutif d'une infraction une contribution à BGE 128 IV 53 S. 68 l'activité de la presse ("pressemässiges Mitwirken") qui, en tant que telle, n'est pas punissable. Ces opinions doivent être suivies; elles sont d'ailleurs conformes à la volonté du législateur de ne pas étendre les poursuites à tous ceux qui ont contribué au délit de presse (de media), mais au contraire de les restreindre à certaines personnes désignées à l' art. 27 CP . Demeure réservée la possibilité que celui qui agit en dehors du cadre de sa fonction dans la chaîne de production et de diffusion soit condamné comme coauteur, instigateur ou complice d'un délit de presse ( ATF 86 IV 145 consid. 1 p. 147; ATF 73 IV 218 consid. 2 p. 221; ATF 73 IV 65 p. 68). Le nouveau droit ne diffère pas sur ce point de l'ancien (FF 1996 IV 560). f) aa) Il est incontesté que le recourant 1 est l'auteur de l'affiche qu'il a composée et dont il a sélectionné les textes et les photographies. A ce titre, il répond de l'infraction commise par voie de presse, que l' art. 27 CP soit applicable dans son ancienne ou dans sa nouvelle teneur (cf. FF 1996 IV 559). bb) Le recourant 3 a réalisé la maquette de l'affiche en suivant les instructions du recourant 1 qui lui avait remis les documents et les textes. Il n'est pas établi que le recourant 3 aurait participé à la conception de la maquette ni que son activité aurait dépassé ce qui était nécessaire pour réaliser techniquement l'affiche ou qu'il serait intervenu dans le contenu de celle-ci. Son activité était indispensable à la production technique de l'affiche; elle s'est limitée à celle d'une personne intervenant dans la production d'un écrit publié par voie de presse. Le recourant 3 n'est par conséquent pas punissable ( art. 27 al. 1 CP ). Son pourvoi est donc admis sur ce point. cc) Le recourant 2 a fourni au concepteur de l'affiche et à la demande de celui-ci la brochure "La Vie" et des coupures de presse où figuraient les photographies des trois politiciennes. Se pose donc la question de savoir si le recourant 2 s'est rendu coupable de complicité de diffamation. Selon l' art. 25 CP , le complice est "celui qui aura intentionnellement prêté assistance pour commettre un crime ou un délit". La complicité, qui est une forme de participation accessoire à l'infraction, suppose que le complice apporte à l'auteur principal une contribution causale à la réalisation de l'infraction, de telle sorte que les événements ne se seraient pas déroulés de la même manière sans cet acte de favorisation; il n'est toutefois pas nécessaire que l'assistance du complice soit une condition sine qua non à la réalisation de l'infraction ( ATF 119 IV 289 consid. 2c p. 292). Subjectivement, il faut que le complice sache ou se rende compte qu'il apporte son concours à un acte délictueux déterminé et qu'il le BGE 128 IV 53 S. 69 veuille ou l'accepte; à cet égard, il suffit qu'il connaisse les principaux traits de l'activité délictueuse qu'aura l'auteur, lequel doit donc avoir pris la décision de l'acte ( ATF 117 IV 186 consid. 3 p. 188). Le dol éventuel suffit pour la complicité ( ATF 118 IV 309 consid. 1a p. 312). L'arrêt cantonal ne contient pas de constatations de fait quant à ce que le recourant 2 acceptait ou savait de l'infraction que le recourant 1 entendait commettre à l'aide du matériel qu'il lui avait remis. L'arrêt attaqué ne permet donc pas de déterminer quelle était la volonté du recourant 2. Les constatations de fait cantonales sont ainsi insuffisantes pour que la Cour de céans puisse trancher la question de savoir si le recourant 2 s'est rendu complice de la diffamation. Sur ce point, le pourvoi doit par conséquent être admis et l'arrêt attaqué annulé, la cause étant renvoyée à l'autorité cantonale pour qu'elle statue à nouveau après avoir complété l'état de fait de sa décision. dd) Les poseurs d'affiches, tous membres ou sympathisants de "W.", sont intervenus au stade de la diffusion des affiches diffamatoires. Ils n'ont eu aucune emprise sur le contenu de celles-ci, qui leur ont été remises imprimées en 2'000 exemplaires. Sans leur intervention toutefois, les affiches n'auraient pas été portées à la connaissance de l'opinion publique. Leur rôle a été essentiel dans la publication des affiches: ils étaient partie intégrante de l'organisation mise en place par le recourant 1 et indispensables à la diffusion des affiches. Ainsi, quand bien même leur intervention est plutôt atypique de la diffusion habituelle d'un écrit, elle s'insère dans la chaîne de diffusion de celui-ci. Sans leur contribution, l'infraction n'aurait pas été consommée. Contrairement à ce qu'a retenu le Tribunal cantonal, le régime spécial de l' art. 27 CP leur est donc applicable. Les colleurs d'affiches se sont limités à la tâche qui leur était assignée (la pose d'affiches) et n'ont pas excédé le cadre de celle-ci. Ils ne sont par conséquent pas punissables et le pourvoi est, sur ce point, bien fondé. II. Pourvoi en nullité sur l'action civile A. Responsabilité civile de A.</w:t>
      </w:r>
    </w:p>
    <w:p>
      <w:r>
        <w:rPr>
          <w:b/>
        </w:rPr>
        <w:t>E. 6</w:t>
      </w:r>
    </w:p>
    <w:p>
      <w:r>
        <w:t>a) Lorsque le pourvoi sur l'action pénale est rejeté, le pourvoi sur l'action civile n'est recevable que si la valeur litigieuse de la prétention civile atteint le montant exigé par les dispositions applicables au recours en réforme en matière civile ( art. 46 OJ ; art. 271 al. 2 PPF ; ATF 127 IV 203 consid. 8 p. 208). La valeur litigieuse est BGE 128 IV 53 S. 70 fixée d'après les prétentions civiles encore contestées devant la dernière juridiction cantonale. Les divers chefs de conclusions formés dans une contestation pécuniaire par le demandeur ou les consorts sont additionnés s'ils ont effectivement été réunis en instance cantonale et ont fait l'objet d'une décision unique dans le cadre d'une même procédure (cf. art. 47 al. 1 OJ ; ATF 116 II 587 consid. 1 p. 589 et les références citées). En cas de cumul subjectif d'actions, il faut en outre que les demandeurs ou les défendeurs aient qualité de consorts au sens de l' art. 24 al. 2 PCF (RS 273; ATF 103 II 41 consid. 1c p. 45; JEAN-FRANÇOIS POUDRET/SUZETTE SANDOZ-MONOD, Commentaire de la loi fédérale d'organisation judiciaire, Berne 1990, n. 1.4 ad art. 47 OJ ; GEORG MESSMER/HERMANN IMBODEN, Die eidgenössischen Rechtsmittel in Zivilsachen, Zurich 1992, n. 63, p. 87/88). A teneur de l' art. 24 al. 2 let. b PCF , plusieurs personnes peuvent notamment agir comme demandeurs ou être actionnées comme défendeurs par la même demande si des prétentions de même nature et reposant sur une cause matérielle et juridique essentiellement de même nature forment l'objet du litige. A moins que la valeur litigieuse puisse être déterminée aisément et avec certitude, le recourant doit fournir, sous peine d'irrecevabilité, les indications nécessaires pour que la Cour de cassation puisse déterminer si les droits contestés devant la dernière instance cantonale atteignent la valeur litigieuse requise ( ATF 127 IV 141 consid. 1b p. 143). Dans un pourvoi en nullité sur les conclusions civiles, le recourant doit en outre prendre des conclusions concrètes; une conclusion tendant simplement à l'annulation de la décision attaquée est en règle générale insuffisante et entraîne l'irrecevabilité du pourvoi. Cela vaut également lorsque le pourvoi est dirigé en même temps contre l'action pénale ( ATF 127 IV 141 consid. 1d p. 143). Si le recourant ne prend pas de conclusions chiffrées, le pourvoi en nullité est irrecevable, à moins que la motivation du pourvoi, en relation avec l'arrêt attaqué, permette de discerner de manière certaine quels sont les montants contestés par le recourant ( ATF 127 IV 141 consid. 1c p. 143; ATF 125 III 412 consid. 1b p. 414). b) Les intimées ont fait valoir en dernière instance cantonale, chacune, une indemnité pour tort moral de 5'000 francs. La cour cantonale a instruit les conclusions civiles des plaignantes dans le cadre de la même procédure qui a donné lieu à un seul jugement. Les conclusions des plaignantes ont le même fondement juridique: elles tendent à obtenir la réparation du tort moral subi à raison de la campagne d'affiches diffamatoire. Leurs prétentions ont donc la BGE 128 IV 53 S. 71 même cause matérielle. Le recourant 1 est ainsi recevable à diriger son recours contre les intimées, quand bien même leurs conclusions prises isolément n'atteindraient pas la valeur litigieuse de 8'000 francs. Cela étant, il ne ressort pas du pourvoi en nullité quelles sont les conclusions du recourant 1 sur le plan civil, de sorte que la recevabilité de ce grief est douteuse. L'on pourrait déduire de ses explications qu'il reconnaît les prétentions des trois politiciennes à concurrence d'un franc symbolique et conclut au rejet des 3'999 francs restant, voire qu'il s'en rapporte à justice pour la fixation d'un montant moins élevé que celui qui a été attribué à chaque intimée. Quoi qu'il en soit, le pourvoi en nullité du recourant 1 est, comme cela sera démontré ci-après, infondé.</w:t>
      </w:r>
    </w:p>
    <w:p>
      <w:r>
        <w:rPr>
          <w:b/>
        </w:rPr>
        <w:t>E. 7</w:t>
      </w:r>
    </w:p>
    <w:p>
      <w:r>
        <w:t>a) Conformément à l' art. 49 CO (par renvoi de l' art. 28a al. 3 CC ), celui qui subit une atteinte illicite à sa personnalité a droit à une somme d'argent à titre de réparation morale pour autant que la gravité de l'atteinte le justifie et que l'auteur ne lui ait pas donné satisfaction autrement. La gravité objective de l'atteinte doit être ressentie par le demandeur comme une souffrance morale. Pour apprécier cette souffrance, le juge se fondera sur la réaction de l'homme moyen dans un cas pareil, présentant les mêmes circonstances ( ATF 120 II 97 consid. 2b p. 99). La fixation de l'indemnité pour tort moral est une question d'application du droit fédéral que le Tribunal fédéral examine donc librement. Dans la mesure où cette question relève pour une partie importante de l'appréciation des circonstances, le Tribunal fédéral intervient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comme il s'agit cependant d'une question d'équité, le Tribunal fédéral examine librement si la somme allouée tient suffisamment compte de la gravité de l'atteinte ou si elle est disproportionnée par rapport à l'intensité des souffrances morales causées à la victime ( ATF 125 III 269 consid. 2a p. 274 et les arrêts cités). b) Selon les constatations de fait cantonales, les intimées ont toutes souffert de manière importante de la campagne d'affiches. X. a ressenti cette campagne comme une agression d'une extrême violence, qui a également mis sa famille à l'épreuve. Y. s'est montrée très affectée par cette opération, faisant état de sentiments de peur et de tristesse. L'attaque a multiplié BGE 128 IV 53 S. 72 le nombre d'appels anonymes la traitant d'assassin. Elle a également souffert des perturbations causées à sa famille et aux élèves du collège où elle enseigne. Z. a évoqué sa souffrance, particulièrement en raison des conséquences de cette campagne diffamatoire pour sa famille et dans l'exercice de sa profession d'infirmière. Le Tribunal cantonal a retenu que l'atteinte était objectivement grave puisqu'elle était excessivement outrageante pour les trois femmes, que l'opération, menée de nuit et sous le couvert de l'anonymat, avait été massive, bien organisée et dirigée contre des personnes exerçant des professions (secrétaire, enseignante, infirmière) quotidiennement en contact avec ceux qui avaient pu prendre connaissance de l'affiche. L'arrêt cantonal tient également compte du fait que le large soutien que les intimées ont reçu, notamment par les médias qui leur furent généralement favorables, a quelque peu adouci la souffrance subie qui reste néanmoins sévère. Au vu de ces considérations, le montant de 4'000 francs alloué à chaque intimée au titre d'indemnité pour tort moral ne viole pas le droit fédéral. L'autorité cantonale s'est en effet fondée sur des considérations prévues par l' art. 49 CO , a tenu compte de tous les éléments pertinents et le montant ne prête pas à la critique au regard de ceux qui ont été alloués dans des cas similaires (cf. HÜTTE/DUKSCH, Die Genugtuung, Zurich 1999, XII/6). Pour autant qu'il soit recevable, le grief du recourant 1 est donc infondé. B. Responsabilité civile des autres recourants</w:t>
      </w:r>
    </w:p>
    <w:p>
      <w:r>
        <w:rPr>
          <w:b/>
        </w:rPr>
        <w:t>E. 8</w:t>
      </w:r>
    </w:p>
    <w:p>
      <w:r>
        <w:t>Le considérant 6 ci-dessus concernant la recevabilité de l'action civile du recourant 1 vaut également pour celle des recourants 2 à 11. Par ailleurs et quand bien même ils ont plaidé le bénéfice de l' art. 27 CP , qui leur a été reconnu, les recourants 2 à 11 n'en tirent aucune conclusion sur le plan de leur responsabilité civile. En vertu de l' art. 273 al. 1 let. b PPF , ils y étaient cependant tenus. Cette disposition prévoit en effet que le recourant doit exposer quelle règle de droit fédéral a été violée et en quoi consiste cette violation. La conclusion civile tendant uniquement à l'annulation de l'arrêt entrepris n'est recevable que lorsque le Tribunal fédéral admet le pourvoi en nullité, ne peut toutefois prononcer un jugement final, mais doit renvoyer la cause à l'autorité cantonale pour qu'elle complète l'état de fait ( ATF 125 III 412 consid. 1b p. 414). BGE 128 IV 53 S. 73 Cela étant, le régime spécial institué par l' art. 27 CP concernant la responsabilité pénale en matière de délits de presse est sans incidence sur les prétentions civiles de la victime ( ATF 124 IV 188 consid. 1b/bb p. 191). Le fait de ne pas être punissables n'exonère ainsi nullement les recourants 2 à 11 de leur responsabilité civile. La campagne d'affiche était illicite, puisque diffamatoire. Le dommage subi par les victimes (tort moral) a été exposé au consid. 6a ci-dessus. Le rapport de causalité tant naturelle qu'adéquate entre l'acte illicite et l'atteinte à la personnalité des victimes ne fait aucun doute. La faute doit également être retenue à charge des recourants 2 à 11. Le recourant 3, responsable du Bulletin de W. et à ce titre formé au contrôle des informations, n'a procédé à aucune vérification quant au contenu de l'affiche, bien qu'il eût quelques réserves à cet égard. Les colleurs d'affiches n'ont pas non plus démontré quels faits auraient fondé leur conviction que le contenu de l'affiche était conforme à la vérité et, partant, non attentatoire à l'honneur des intimées. Quand bien même ils ont tous reconnu la grossièreté de l'affiche et ont jugé son contenu un peu "dur", "fort", voire diffamatoire, ils ne se sont pas interrogés sur l'admissibilité de cette campagne anonyme et ont ainsi pris le risque qu'elle porte atteinte à l'honneur des intimées. Par conséquent, ils ont agi, à tout le moins, par dol éventuel. Les conditions de l' art. 49 CO (en relation avec les art. 28 ss CC ) sont donc réalisées et la responsabilité civile des recourants 2 à 11 engagée. Comme cela a été démontré au consid. 7 ci-dessus, le montant de l'indemnité pour tort moral ne prête pas le flanc à la critique.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