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49</w:t>
      </w:r>
    </w:p>
    <w:p>
      <w:r>
        <w:t>Bundesgericht (BGE), 2001-01-01, DE</w:t>
      </w:r>
    </w:p>
    <w:p>
      <w:r>
        <w:rPr>
          <w:b/>
        </w:rPr>
        <w:t xml:space="preserve">Quelle: </w:t>
      </w:r>
      <w:r>
        <w:t>https://mcp.opencaselaw.ch/entscheid/bge_BGE_128_IV_49</w:t>
      </w:r>
    </w:p>
    <w:p>
      <w:r>
        <w:t>FR: ATF 128 IV 49</w:t>
      </w:r>
    </w:p>
    <w:p>
      <w:r>
        <w:t>IT: DTF 128 IV 49</w:t>
      </w:r>
    </w:p>
    <w:p>
      <w:pPr>
        <w:pStyle w:val="Heading2"/>
      </w:pPr>
      <w:r>
        <w:t>Regeste</w:t>
      </w:r>
    </w:p>
    <w:p>
      <w:r>
        <w:t>Regeste Art. 125 Abs. 2 StGB, Art. 26 Abs. 1 WG; fahrlässige schwere Körperverletzung durch unsorgfältige Aufbewahrung eines Luftgewehrs. Die Eltern eines im gleichen Haushalt lebenden minderjährigen Kindes haften für die von ihm einem anderen Kind zugefügte Schussverletzung, wenn sie das hiezu verwendete Luftgewehr samt Munition unsorgfältig aufbewahrt haben. Die für die Auslegung der Aufbewahrungspflicht gemäss Waffengesetz wichtigen Gesichtspunkte lassen sich auf die bei der Aufbewahrung von Luftgewehren zu beachtende Sorgfalt übertragen (E. 2d).</w:t>
      </w:r>
    </w:p>
    <w:p>
      <w:r>
        <w:t>Regeste Art. 125 al. 2 CP, art. 26 al. 1 LArm; lésions corporelles graves par négligence dues à une conservation imprudente d'une carabine à air comprimé. Les parents d'un enfant mineur, vivant dans le même ménage, répondent de la blessure occasionnée à un autre enfant sur lequel leur fils a tiré, s'ils ont entreposé la carabine à air comprimé et ses munitions de manière imprudente. Les éléments importants pour l'interprétation de la notion de devoir en matière de conservation selon la loi sur les armes sont transposables dans le domaine de la prudence requise pour la conservation des armes à air comprimé (consid. 2d).</w:t>
      </w:r>
    </w:p>
    <w:p>
      <w:r>
        <w:t>Regesto Art. 125 cpv. 2 CP, art. 26 cpv. 1 LArm; lesioni colpose gravi per negligenza dovute alla custodia non diligente di una carabina ad aria compressa. I genitori di un minorenne, tutti e tre vivendo sotto lo stesso tetto, sono responsabili della ferita provocata a un altro bambino sul quale ha tirato loro figlio, se hanno riposto la carabina ad aria compressa e le munizioni senza la necessaria diligenza. Gli elementi importanti per l'interpretazione del dovere di custodia secondo la legge sulle armi sono trasferibili nell'ambito della diligenza richiesta per la custodia di armi ad aria compressa (consid. 2d).</w:t>
      </w:r>
    </w:p>
    <w:p>
      <w:pPr>
        <w:pStyle w:val="Heading2"/>
      </w:pPr>
      <w:r>
        <w:t>Erwägungen</w:t>
      </w:r>
    </w:p>
    <w:p>
      <w:r>
        <w:rPr>
          <w:b/>
        </w:rPr>
        <w:t>E. 2</w:t>
      </w:r>
    </w:p>
    <w:p>
      <w:r>
        <w:t>a) Die Beschwerdeführer haben nach den für das Bundesgericht verbindlichen tatsächlichen Feststellungen der Vorinstanz ( Art. 277bis Abs. 1 BStP [SR 312.0]) das eigens für ihren Sohn angeschaffte Luftgewehr und auch die Munition dazu in ihrem Schlafzimmerschrank aufbewahrt. Darin sieht die Vorinstanz eine Sorgfaltswidrigkeit. Die Beschwerdeführer wenden sich einzig gegen den Vorwurf der Sorgfaltspflichtverletzung. c) In seiner bisherigen Rechtsprechung ( BGE 103 II 24 E. 4; BGE 100 II 298 E. 3b, beide mit zahlreichen Hinweisen) hat das Bundesgericht festgehalten, dass Luftgewehre bzw. Pfeil und Bogen Jugendlichen und Kindern nicht ohne besonders eingehende Instruktion über die damit verbundenen Gefahren überlassen werden dürfen. Das Bundesgericht hat in BGE 103 II 24 E. 4 offen gelassen, ob Kindern solche Gegenstände ohne permanente Aufsicht überlassen werden dürfen, da es im konkreten Fall bereits an der nötigen Instruktion gefehlt hatte. Im Gegensatz hiezu hatten die Beschwerdeführer ihrem Sohn Instruktionen erteilt, weshalb sich die Frage stellte, ob sie nicht darüber hinaus noch mehr Sorgfalt hätten walten lassen, d.h. das Luftgewehr und die Munition wegsperren müssen. Im kantonalen Verfahren hatten die Beschwerdeführer geltend gemacht, konsequenterweise müssten auch Messer und andere gefährliche Gegenstände beständig unter Verschluss aufbewahrt werden. Es ist richtig, dass sich in jedem Haushalt Gegenstände befinden, die bei unsachgemässem Gebrauch gefährlich sein können. Auch deshalb dürfen kleine Kinder nicht unbeaufsichtigt in einer Wohnung gelassen werden. Von einem fast elfjährigen Kind kann jedoch erwartet werden, dass ihm derartige Gefahren bewusst sind. Zudem üben haushaltsübliche gefährliche Gegenstände wie beispielsweise Küchenmesser im Normalfall keine besondere Anziehungskraft auf Kinder und Jugendliche aus. Anders sieht es hingegen bei Luftgewehren aus, weshalb dort auch höhere Anforderungen an die hierbei zu erfüllende Sorgfalt bei der Aufbewahrung gestellt werden müssen. BGE 128 IV 49 S. 52 d) Gemäss Art. 26 Abs. 1 des Waffengesetzes vom 20. Juni 1997 (WG; SR 514.54) sind Waffen, wesentliche Waffenbestandteile, Munition und Munitionsbestandteile sorgfältig aufzubewahren und vor dem Zugriff unberechtigter Dritter zu schützen. Dabei werden je nach Sachlage verschieden hohe Anforderungen an die zu beachtende Sorgfalt gestellt. Besondere Vorsicht ist geboten, wenn im gleichen Haushalt Kinder und Jugendliche leben, weil Waffen auf diese einen besonderen, kaum kontrollierbaren Anreiz ausüben. Der Sorgfaltspflicht genügt nur, wer in solchen Fällen Munition und Waffen getrennt aufbewahrt, und zwar so verschlossen, dass ein Jugendlicher das Behältnis nicht öffnen kann. Es genügt nicht, lediglich die Munition wegzuschliessen. Ein klarer, gemäss Art. 34 Abs. 1 lit. e WG strafbarer Verstoss gegen die Aufbewahrungspflicht liegt vor, wenn Jugendliche zu Waffen und Munition ungehinderten Zugang haben (HANS WÜST, Schweizer Waffenrecht, Zürich/Egg 1999, S. 144 f.). Luftgewehre sind nicht Waffen im Sinne des Waffengesetzes (vgl. Art. 2 Abs. 2 lit. b WG ). Sie sind auch nicht im gleichen Masse gefährlich wie diese, können jedoch je nachdem auch schwere Verletzungen verursachen. Zudem üben Luftgewehre ähnlich wie Waffen einen besonderen Anreiz auf Kinder und Jugendliche aus. Dementsprechend lassen sich die bei der Auslegung der Aufbewahrungspflicht gemäss Waffengesetz wichtigen Gesichtspunkte auf die bei der Aufbewahrung von Luftgewehren zu beachtende Sorgfalt übertragen. Die Vorinstanz tut dies denn auch, indem sie mit Recht verlangt, die Beschwerdegegner hätten nur entweder das Luftgewehr oder die Munition wegschliessen müssen. Wäre nur schon die Munition weggeschlossen worden, hätte der Sohn der Beschwerdeführer sich kaum kurzfristig Ersatz beschaffen, damit auf den Balkon treten, schiessen und dem Beschwerdegegner die konkrete Verletzung zufügen können. Das unter den gegebenen Umständen unsachgemässe Aufbewahren von Luftgewehr und Munition durch die Beschwerdeführer hat den Eintritt des Erfolges zumindest begünstigt. Die von der Vorinstanz geforderten Massnahmen - insbesondere das Einschliessen der Munition - wären ohne weiteres zumutbar gewesen. Es mag deshalb dahingestellt bleiben, ob die Beschwerdeführer ihren Sohn hinreichend instruiert hatten, nachdem die von Luftgewehren ausgehende Gefahr von Augenverletzungen offenbar nie thematisiert worden war. Schliesslich kann die Adäquanz auch nicht mit dem Argument verneint werden, der Sohn der Beschwerdeführer sei durch andere Knaben zum Schiessen mit dem Luftgewehr "angestiftet" worden. Es handelt sich BGE 128 IV 49 S. 53 dabei nicht um ganz aussergewöhnliche Umstände, mit denen schlechthin nicht gerechnet werden musste. Kinder pflegen zu provozieren und sich provozieren zu lassen, namentlich im Zusammenhang mit prestigeträchtigen Gegenständen wie eben Luftgewehren. Auch dass der Schuss trotz der Distanz von ca. 25 Metern eine schwere Augenverletzung verursacht hat, ist nicht ungewöhnlich.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