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34</w:t>
      </w:r>
    </w:p>
    <w:p>
      <w:r>
        <w:t>Bundesgericht (BGE), 2001-10-22, FR</w:t>
      </w:r>
    </w:p>
    <w:p>
      <w:r>
        <w:rPr>
          <w:b/>
        </w:rPr>
        <w:t xml:space="preserve">Quelle: </w:t>
      </w:r>
      <w:r>
        <w:t>https://mcp.opencaselaw.ch/entscheid/bge_BGE_128_IV_34</w:t>
      </w:r>
    </w:p>
    <w:p>
      <w:r>
        <w:t>FR: ATF 128 IV 34</w:t>
      </w:r>
    </w:p>
    <w:p>
      <w:r>
        <w:t>IT: DTF 128 IV 34</w:t>
      </w:r>
    </w:p>
    <w:p>
      <w:pPr>
        <w:pStyle w:val="Heading2"/>
      </w:pPr>
      <w:r>
        <w:t>Regeste</w:t>
      </w:r>
    </w:p>
    <w:p>
      <w:r>
        <w:t>Regeste Art. 268 Ziff. 1 BStP, Art. 41 Ziff. 3 Abs. 1 StGB; Nichtigkeitsbeschwerde gegen die Anordnung einer förmlichen Mahnung. Die Anordnung einer förmlichen Mahnung gemäss Art. 41 Ziff. 3 Abs. 1 StGB kann mit Nichtigkeitsbeschwerde angefochten werden (E. 1a). Wer von einer solchen Mahnung betroffen ist, hat ein rechtlich geschütztes Interesse, sie mit Nichtigkeitsbeschwerde anzufechten (E. 1b).</w:t>
      </w:r>
    </w:p>
    <w:p>
      <w:r>
        <w:t>Regeste Art. 268 ch. 1 PPF, art. 41 ch. 3 al. 1 CP; pourvoi en nullité contre le prononcé d'un avertissement formel. Le prononcé d'un avertissement formel en application de l'art. 41 ch. 3 al. 1 CP peut faire l'objet d'un pourvoi en nullité (consid. 1a). Celui qui fait l'objet d'un tel avertissement a un intérêt juridique à se pourvoir en nullité pour le contester (consid. 1b).</w:t>
      </w:r>
    </w:p>
    <w:p>
      <w:r>
        <w:t>Regesto Art. 268 n. 1 PP, art. 41 n. 3 cpv. 1 CP; ricorso per cassazione contro un avvertimento formale. Un avvertimento formale pronunciato in applicazione dell'art. 41 n. 3 cpv. 1 CP può essere impugnato con ricorso per cassazione (consid. 1a). Chi è oggetto di siffatto avvertimento possiede un interesse giuridico a ricorrere per cassazione per contestarlo (consid. 1b).</w:t>
      </w:r>
    </w:p>
    <w:p>
      <w:pPr>
        <w:pStyle w:val="Heading2"/>
      </w:pPr>
      <w:r>
        <w:t>Erwägungen</w:t>
      </w:r>
    </w:p>
    <w:p>
      <w:r>
        <w:rPr>
          <w:b/>
        </w:rPr>
        <w:t>E. 1</w:t>
      </w:r>
    </w:p>
    <w:p>
      <w:r>
        <w:t>a) Le pourvoi en nullité est ouvert contre les décisions mentionnées à l' art. 268 PPF (RS 312.0), notamment contre les jugements pénaux rendus en dernière instance cantonale, à l'exception des jugements rendus par un tribunal inférieur statuant en instance cantonale unique. Par jugement au sens de cette disposition, il faut entendre une décision rendue par une autorité judiciaire cantonale qui statue sur le sort même de la cause, et non sur la marche de la procédure ou sur une simple question d'exécution ( ATF 84 IV 84 consid. 2 et les arrêts cités); ainsi, constituent notamment un jugement BGE 128 IV 34 S. 36 l'acquittement ou le verdict de culpabilité, le prononcé d'une peine ou d'une mesure prévue par la loi pénale ou encore la décision par laquelle l'autorité met un terme à la procédure en constatant que l'action pénale est prescrite, mais aussi la décision rendue en matière d'exécution des peines et mesures que le droit fédéral réserve au juge, telle que la révocation du sursis (cf. ATF 122 IV 156 consid. 3c p. 161; ATF 118 IV 330 ). Il peut s'agir non seulement d'une décision finale, qui met un terme à l'action pénale, mais aussi d'une décision préjudicielle ou incidente, si elle tranche définitivement, sur le plan cantonal, une question de droit fédéral ( ATF 123 IV 252 consid. 1; ATF 122 IV 45 consid. 1c p. 46 s.; ATF 119 IV 168 consid. 2a; ATF 111 IV 188 consid. 2). L'arrêt attaqué écarte un recours dirigé contre un avertissement formel donné en application de l' art. 41 ch. 3 al. 1 CP , en tant que cette disposition prévoit la révocation du sursis lorsque, pendant le délai d'épreuve, le condamné persiste "au mépris d'un avertissement formel du juge", à enfreindre une des règles de conduite à lui imposées. Il constitue manifestement une décision incidente, puisqu'il ne statue par sur la révocation elle-même. Il tranche toutefois définitivement, sur le plan cantonal, une question de droit fédéral, soit celle de la validité de l'avertissement donné au recourant en application de l' art. 41 ch. 3 al. 1 CP . Il peut donc faire l'objet d'un pourvoi en nullité. b) Le pourvoi en nullité suppose, comme toute autre voie de droit, l'existence d'un intérêt juridique et actuel au recours ( ATF 124 IV 94 consid. 1a p. 95; cf. également ATF 126 II 198 consid. 2b p. 201 et les arrêts cités). Le prononcé d'un avertissement formel en application de l' art. 41 ch. 3 al. 1 CP expose le condamné à une révocation du sursis en cas de violation subséquente de la règle de conduite imposée. Si l'avertissement a été donné à tort, celui qui en a fait l'objet a donc un intérêt juridique et actuel à obtenir son annulation. Le recourant est par conséquent légitimé à se pourvoir en nullité pour contester l'avertissement prononcé à son encontre.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