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272</w:t>
      </w:r>
    </w:p>
    <w:p>
      <w:r>
        <w:t>Bundesgericht (BGE), 2002-01-01, DE</w:t>
      </w:r>
    </w:p>
    <w:p>
      <w:r>
        <w:rPr>
          <w:b/>
        </w:rPr>
        <w:t xml:space="preserve">Quelle: </w:t>
      </w:r>
      <w:r>
        <w:t>https://mcp.opencaselaw.ch/entscheid/bge_BGE_128_IV_272</w:t>
      </w:r>
    </w:p>
    <w:p>
      <w:r>
        <w:t>FR: ATF 128 IV 272</w:t>
      </w:r>
    </w:p>
    <w:p>
      <w:r>
        <w:t>IT: DTF 128 IV 272</w:t>
      </w:r>
    </w:p>
    <w:p>
      <w:pPr>
        <w:pStyle w:val="Heading2"/>
      </w:pPr>
      <w:r>
        <w:t>Regeste</w:t>
      </w:r>
    </w:p>
    <w:p>
      <w:r>
        <w:t>Regeste Art. 1 StGB, Art. 31 Abs. 2 und Art. 100 Ziff. 3 SVG; Grundsatz "nulla poena sine lege", Verantwortung des angetrunkenen Begleiters eines Lernfahrers. Der Begleiter eines Fahrschülers ist nicht ein gewöhnlicher Beifahrer; er ist an der Führung des Fahrzeugs beteiligt und macht sich als Führer strafbar, wenn er in angetrunkenem Zustand einen Fahrschüler begleitet (Bestätigung der Rechtsprechung, E. 3).</w:t>
      </w:r>
    </w:p>
    <w:p>
      <w:r>
        <w:t>Regeste Art. 1 CP, art. 31 al. 2 et art. 100 ch. 3 LCR; principe "nulla poena sine lege", responsabilité de l'accompagnateur pris de boisson. L'accompagnateur d'un élève conducteur n'est pas un passager ordinaire; il participe à la conduite du véhicule et se rend coupable en tant que conducteur lorsque, pris de boisson, il accompagne un élève (confirmation de la jurisprudence, consid. 3).</w:t>
      </w:r>
    </w:p>
    <w:p>
      <w:r>
        <w:t>Regesto Art. 1 CP, art. 31 cpv. 2 e 100 n. 3 LCStr; principio del "nulla poena sine lege", responsabilità dell'accompagnatore in stato di ebrietà. L'accompagnatore di un allievo conducente non è un passeggero ordinario; egli partecipa alla guida del veicolo e si rende colpevole come conducente se, mentre accompagna l'allievo, è in stato di ebrietà (conferma della giurisprudenza, consid. 3).</w:t>
      </w:r>
    </w:p>
    <w:p>
      <w:pPr>
        <w:pStyle w:val="Heading2"/>
      </w:pPr>
      <w:r>
        <w:t>Erwägungen</w:t>
      </w:r>
    </w:p>
    <w:p>
      <w:r>
        <w:rPr>
          <w:b/>
        </w:rPr>
        <w:t>E. 1</w:t>
      </w:r>
    </w:p>
    <w:p>
      <w:r>
        <w:t>Der Beschwerdeführer macht eine Verletzung des Legalitätsprinzips geltend ( Art. 1 StGB : nullum crimen sine lege). Auch wenn sein Verhalten strafwürdig sei, sei es von Art. 91 Abs. 1 SVG nicht erfasst. Die kantonalen Behörden haben sich an die Rechtsprechung des Bundesgerichtes gehalten. Danach gilt bei einer Lernfahrt der Begleiter des Fahrschülers als Motorfahrzeugführer. Begründet wird dies damit, dass der Begleiter nicht nur die Fahrweise des Fahrschülers ständig überwachen und die nötigen Anweisungen geben, sondern notfalls die Handbremse ziehen oder das Steuer herumreissen, somit das Fahrzeug selber führen muss. Deshalb sei es notwendig, dass er fahrtüchtig sei wie ein Lenker. Die Gründe, die für die Strafbarkeit des angetrunkenen Führers sprächen, würden folglich im gleichem Ausmass für den Begleiter gelten ( BGE 91 IV 147 ). Diese Rechtsprechung wird in der Literatur teilweise kritisiert. So wird ohne weitere Begründung gesagt, die extensive Auslegung des Begriffs des "Führens" kollidiere mit dem Legalitätsprinzip (ANDRÉ BUSSY/BAPTISTE RUSCONI, Code suisse de la circulation routière, 3. Aufl., Lausanne 1996, N. 4.4 zu Art. 91 SVG ). Teilweise wird die bundesgerichtliche Rechtsprechung vorbehaltlos referiert (HANS SCHULTZ, Die strafrechtliche Rechtsprechung zum neuen Strassenverkehrsrecht, BGE 128 IV 272 S. 274 Bern 1968, S. 235; HANS GIGER/ROBERT SIMMEN, Strassenverkehrsgesetz, 5. Aufl., Zürich 1996, N. 4 zu Art. 100 SVG , S. 263).</w:t>
      </w:r>
    </w:p>
    <w:p>
      <w:r>
        <w:rPr>
          <w:b/>
        </w:rPr>
        <w:t>E. 2</w:t>
      </w:r>
    </w:p>
    <w:p>
      <w:r>
        <w:t>Strafbar ist nur, wer eine Tat begeht, die das Gesetz ausdrücklich mit Strafe bedroht ( Art. 1 StGB ). Der Gesetzestext ist Ausgangspunkt der Gesetzesanwendung. Selbst ein klarer Wortlaut bedarf aber der Auslegung, wenn er vernünftigerweise nicht der wirkliche Sinn des Gesetzes sein kann. Massgebend ist nicht der Buchstabe des Gesetzes, sondern dessen Sinn, der sich namentlich aus den dem Gesetz zu Grunde liegenden Wertungen ergibt, im Wortlaut jedoch unvollkommen ausgedrückt sein kann. Sinngemässe Auslegung kann auch zu Lasten des Beschuldigten vom Wortlaut abweichen. Im Rahmen solcher Gesetzesauslegung ist auch der Analogieschluss erlaubt. Dieser dient dann lediglich als Mittel sinngemässer Auslegung. Der Grundsatz "keine Strafe ohne Gesetz" ( Art. 1 StGB ) verbietet bloss, über den dem Gesetz bei richtiger Auslegung zukommenden Sinn hinauszugehen, also neue Straftatbestände zu schaffen oder bestehende derart zu erweitern, dass die Auslegung durch den Sinn des Gesetzes nicht mehr gedeckt wird. Die Abgrenzung zwischen zulässiger Auslegung einer Strafbestimmung zu Ungunsten des Beschuldigten und unzulässiger Schaffung neuer Straftatbestände durch Analogieschlüsse ist allerdings schwierig. Das Bestreben, ein strafwürdiges Verhalten tatsächlich auch zu bestrafen, darf nicht mit dem Sinn und Zweck einer Strafnorm vermengt bzw. gleichgesetzt werden. Andererseits ist nicht zu übersehen, dass sich die Frage, ob ein bestimmtes Verhalten unter einen Straftatbestand fällt, eben gerade dann stellt, wenn es als strafwürdig erscheint ( BGE 127 IV 198 E. 3b S. 200).</w:t>
      </w:r>
    </w:p>
    <w:p>
      <w:r>
        <w:rPr>
          <w:b/>
        </w:rPr>
        <w:t>E. 3</w:t>
      </w:r>
    </w:p>
    <w:p>
      <w:r>
        <w:t>Strafbar im Sinne von Art. 91 Abs. 1 SVG macht sich, wer in angetrunkenem Zustand ein Motorfahrzeug "führt" ("conduit un véhicule automobile", "conduce un veicolo a motore"). Wer angetrunken ist, darf kein Fahrzeug "führen" ( Art. 31 Abs. 2 SVG ).</w:t>
      </w:r>
    </w:p>
    <w:p>
      <w:r>
        <w:rPr>
          <w:b/>
        </w:rPr>
        <w:t>E. 3.1</w:t>
      </w:r>
    </w:p>
    <w:p>
      <w:r>
        <w:t>Das Führen eines Fahrzeugs besteht darin, es zu bedienen, insbesondere in Bewegung zu setzen und zu lenken ( BGE 80 IV 125 E. 1 S. 127). Grundsätzlich führt der Lenker das Fahrzeug. Das folgt nicht nur aus dem gewöhnlichen Sprachgebrauch, sondern auch aus Art. 31 Abs. 1 SVG , wonach der Führer das Fahrzeug ständig beherrschen muss, oder aus Art. 3 der Vekehrsregelnverordnung vom 13. November 1962 (VRV; SR 741.11), der dem Fahrzeugführer BGE 128 IV 272 S. 275 vorschreibt, beim Fahren keine Verrichtung vorzunehmen, welche die Bedienung des Fahrzeugs erschwert, kein Handmikrophon zu verwenden und die Lenkvorrichtung nicht loszulassen. Fahrzeugführer kann allerdings auch sein, wer nicht hinter dem Lenkrad sitzt. Das Fahrzeug führt auch der Beifahrer, der in den Führungsvorgang des Lenkers eingreift, beispielsweise indem er auf das Gaspedal drückt, die Handbremse zieht oder das Lenkrad herumreisst ( BGE 118 Ib 524 E. 2 S. 525; BGE 91 IV 147 E. 1 S. 148). Wer nur einen Lernfahrausweis besitzt, darf nicht allein einen Motorwagen führen. Lernfahrten auf Motorwagen dürfen nur mit einem Begleiter unternommen werden, welcher dafür sorgt, dass die Lernfahrt gefahrlos durchgeführt wird und der Fahrschüler die Verkehrsvorschriften nicht verletzt ( Art. 15 SVG ). Der Begleiter muss neben dem Fahrschüler Platz nehmen und wenigstens die Handbremse leicht erreichen können ( Art. 27 Abs. 2 VRV ). Nötigenfalls muss er in den Führungsvorgang eingreifen und die Handbremse ziehen oder das Steuer herumreissen ( BGE 91 IV 147 E. 1 S. 148). Der Fahrschüler darf also den Motorwagen nur zusammen mit dem Begleiter führen, und es ist der Begleiter, der für die Einhaltung der Verkehrsregeln und die Vermeidung von Unfällen zu sorgen hat. Der Begleiter ist damit nicht ein gewöhnlicher Beifahrer; er ist im Gegenteil von Gesetzes wegen an der Führung des Fahrzeuges durch den Fahrschüler beteiligt. In diesem Sinn führen beide, Fahrschüler und Begleiter, das Fahrzeug gemeinsam. Die gesetzlich umschriebene Tätigkeit des Begleiters kann deshalb unter den Begriff des Führens subsumiert werden, ohne diesen zu überdehnen. Diese Auslegung entspricht dem Willen des Gesetzgebers. Im alten Art. 14 Abs. 1 des Bundesgesetzes vom 15. März 1932 über den Motorfahrzeug- und Fahrradverkehr (MFG; BS 7 S. 595 ff.) stand, dass der Begleiter "die Verantwortlichkeit als Führer trägt". In der Botschaft vom 24. Juni 1955 zum Entwurf eines Bundesgesetzes über den Strassenverkehr steht in Zusammenhang mit Art. 93 Ziff. 3 (heute Art. 100 Ziff. 3 SVG ), dass die Rechtsprechung zu Art. 14 MFG übernommen wird und das Gesetz den Begleiter "zum Führer des Fahrzeugs" erklärt (BBl 1955 II 65; vgl. BGE 80 IV 125 E. 1 S. 127).</w:t>
      </w:r>
    </w:p>
    <w:p>
      <w:r>
        <w:rPr>
          <w:b/>
        </w:rPr>
        <w:t>E. 3.2</w:t>
      </w:r>
    </w:p>
    <w:p>
      <w:r>
        <w:t>Es ist offensichtlich und wird vom Beschwerdeführer auch nicht bestritten, dass der Begleiter zumindest die gleich gute Reaktionsfähigkeit besitzen muss wie ein Lenker, um seinen gesetzlich vorgeschriebenen Aufgaben nachkommen zu können. Die Gründe, aus welchen der Gesetzgeber die Angetrunkenheit am Steuer unter BGE 128 IV 272 S. 276 Strafe gestellt hat, gelten gleichermassen gegenüber dem Lenker und dem Begleiter. Denn die Verkehrssicherheit erheischt nicht nur, dass der Lenker nicht angetrunken ist, sondern auch, dass der Begleiter eines Fahrschülers es nicht ist. So hat denn der Gesetzgeber gegenüber berufsmässigen Fahrlehrern gar ein Alkoholverbot verhängt; während der Arbeitszeit und innert sechs Stunden vor Arbeitsbeginn ist ihnen der Genuss alkoholischer Getränke gänzlich untersagt ( Art. 58 Abs. 5 VZV ).</w:t>
      </w:r>
    </w:p>
    <w:p>
      <w:r>
        <w:rPr>
          <w:b/>
        </w:rPr>
        <w:t>E. 3.3</w:t>
      </w:r>
    </w:p>
    <w:p>
      <w:r>
        <w:t>Der Beschwerdeführer wendet ein, der Begleiter könne nicht als Führer des Fahrzeugs betrachtet werden, weil ansonsten Art. 100 Ziff. 3 SVG keinen Sinn hätte. Diese Bestimmung sieht vor, dass für strafbare Handlungen auf Lernfahrten der Begleiter verantwortlich ist, wenn er die Pflichten verletzt hat, die ihm als Folge der Übernahme der Begleitung oblagen (Abs. 1), und dass der Fahrschüler verantwortlich ist, soweit er die Widerhandlung nach dem Stand seiner Ausbildung hätte vermeiden können (Abs. 2). Art. 100 Ziff. 3 SVG übernimmt die zur Geltungszeit von Art. 14 MFG ergangene Rechtsprechung zur Frage, inwieweit der Fahrschüler für Verletzungen von Verkehrsregeln selber strafrechtlich verantwortlich ist ( BGE 80 IV 125 E. 1 S. 127; vgl. BBl 1955 II 65). Im entsprechenden Entscheid, wo festgehalten wird, dass "auch der Fahrschüler im Rahmen der ihm ... belassenen Verantwortung Führer ... ist", ging es darum, festzuhalten, dass entgegen früherer Praxis der Fahrschüler unter Umständen strafbar sein kann, sei es neben dem Begleiter, sei es allein, beispielsweise wenn er sich bewusst und gewollt den Weisungen des Begleiters widersetzt (vgl. hierzu: HANS SCHULTZ, Die Strafbestimmungen des Bundesgesetzes über den Strassenverkehr vom 19. Dezember 1958, Bern 1964, S. 64 und 68). Aus Art. 100 Ziff. 3 SVG kann also nicht abgeleitet werden, der Begleiter sei nicht Führer und könne folglich nicht wegen Führens eines Fahrzeugs in angetrunkenem Zustand verurteilt werden. In der Botschaft wird im Gegenteil zu dieser Bestimmung ausdrücklich festgehalten, dass der Begleiter als Führer des vom Fahrschüler gelenkten Fahrzeugs zu betrachten ist (BBl 1955 II 65). Dass Abs. 1 von Art. 100 Ziff. 3 SVG mit der Formulierung, der Begleiter sei für die Verletzung der ihm obliegenden Pflichten verantwortlich, etwas aussagt, was ohnehin gilt, und dass die Bestimmung somit, streng genommen, überflüssig ist, vermag daran nichts zu ändern.</w:t>
      </w:r>
    </w:p>
    <w:p>
      <w:r>
        <w:rPr>
          <w:b/>
        </w:rPr>
        <w:t>E. 3.4</w:t>
      </w:r>
    </w:p>
    <w:p>
      <w:r>
        <w:t>Damit kann offen bleiben, ob subsidiär eine Verurteilung wegen Störung des öffentlichen Verkehrs ( Art. 237 StGB ) in Frage käme (vgl. BGE 73 IV 180 E. 1 S. 182).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