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219</w:t>
      </w:r>
    </w:p>
    <w:p>
      <w:r>
        <w:t>Bundesgericht (BGE), 2002-08-26, FR</w:t>
      </w:r>
    </w:p>
    <w:p>
      <w:r>
        <w:rPr>
          <w:b/>
        </w:rPr>
        <w:t xml:space="preserve">Quelle: </w:t>
      </w:r>
      <w:r>
        <w:t>https://mcp.opencaselaw.ch/entscheid/bge_BGE_128_IV_219</w:t>
      </w:r>
    </w:p>
    <w:p>
      <w:r>
        <w:t>FR: ATF 128 IV 219</w:t>
      </w:r>
    </w:p>
    <w:p>
      <w:r>
        <w:t>IT: DTF 128 IV 219</w:t>
      </w:r>
    </w:p>
    <w:p>
      <w:pPr>
        <w:pStyle w:val="Heading2"/>
      </w:pPr>
      <w:r>
        <w:t>Regeste</w:t>
      </w:r>
    </w:p>
    <w:p>
      <w:r>
        <w:t>Regeste Art. 21, 73 und 27 VStrR; Überweisung an die Strafbehörden; Zulässigkeit der Beschwerde. Wenn das Departement in Anwendung der Art. 21 und 73 VStrR die Voraussetzungen einer Freiheitsstrafe oder einer freiheitsentziehenden Massnahme für gegeben hält, kann dieser Entscheid nicht mit Beschwerde gemäss Art. 27 VStrR angefochten werden (E. 1.3).</w:t>
      </w:r>
    </w:p>
    <w:p>
      <w:r>
        <w:t>Regeste Art. 21, 73 et 27 DPA; délégation de la compétence de juger; recevabilité de la plainte. Lorsque, en application des art. 21 et 73 DPA, le département estime qu'une peine ou une mesure privative de liberté doit être envisagée, cette décision ne peut faire l'objet d'une plainte au sens de l'art. 27 DPA (consid. 1.3).</w:t>
      </w:r>
    </w:p>
    <w:p>
      <w:r>
        <w:t>Regesto Art. 21, 73 e 27 DPA; delega della competenza di giudicare; ammissibilità del reclamo. Non è impugnabile con reclamo ai sensi dell'art. 27 DPA la decisione con cui il dipartimento, in applicazione degli art. 21 e 73 DPA, reputa che ricorrano gli estremi per infliggere una pena o per ordinare una misura privative della libertà (consid. 1.3).</w:t>
      </w:r>
    </w:p>
    <w:p>
      <w:pPr>
        <w:pStyle w:val="Heading2"/>
      </w:pPr>
      <w:r>
        <w:t>Erwägungen</w:t>
      </w:r>
    </w:p>
    <w:p>
      <w:r>
        <w:rPr>
          <w:b/>
        </w:rPr>
        <w:t>E. 1.1</w:t>
      </w:r>
    </w:p>
    <w:p>
      <w:r>
        <w:t>L'art. 20 al. 1 DPA énonce le principe que l'enquête est conduite par l'administration fédérale compétente. Selon l'art. 21 al. 1 DPA, cette dernière est également compétente pour juger les infractions; toutefois, lorsque le département auquel elle est subordonnée estime qu'une peine ou une mesure privative de liberté doit être envisagée, c'est le tribunal qui est compétent (art. 21 al. 1 et 22 al. 1 DPA).</w:t>
      </w:r>
    </w:p>
    <w:p>
      <w:r>
        <w:rPr>
          <w:b/>
        </w:rPr>
        <w:t>E. 1.2</w:t>
      </w:r>
    </w:p>
    <w:p>
      <w:r>
        <w:t>Au moyen de la plainte prévue aux art. 26 ss DPA, il est possible de s'en prendre à tous les actes d'enquête et omissions de l'administration relatifs à la procédure pénale administrative entreprise (PETER BÖSCH, Die Anklagekammer des schweizerischen Bundesgerichts, thèse Zurich 1978, p. 126). La notion d'"actes d'enquête" s'étend en principe à tous les actes de l'administration intervenant en application des art. 32 à 72 DPA, avant que l'enquête ne soit formellement close (KURT HAURI, Verwaltungsstrafrecht [VStrR], Berne 1998, p. 80 n. 3). Ces actes peuvent donner matière à une plainte, selon l'art. 26 (mesures de contrainte) ou 27 DPA. BGE 128 IV 219 S. 221</w:t>
      </w:r>
    </w:p>
    <w:p>
      <w:r>
        <w:rPr>
          <w:b/>
        </w:rPr>
        <w:t>E. 1.3</w:t>
      </w:r>
    </w:p>
    <w:p>
      <w:r>
        <w:t>Le plaignant s'en prend à la décision par laquelle, en application des art. 21 et 73 DPA, le DFF a autorisé la DGD à transmettre au canton compétent le dossier établi à l'encontre de celui-ci pour les faits commis entre 1993 et 1995. Comme le relève à juste titre la DGD dans ses observations, cette décision ne constitue pas un acte d'enquête au sens des art. 32 à 72 DPA. Il s'agit d'une décision par laquelle le DFF a estimé que la DGD pouvait renvoyer le plaignant pour jugement devant le tribunal cantonal compétent puisqu'il considérait comme remplies les conditions requises pour infliger une peine ou une mesure privative de liberté. Cette décision est - à l'instar de la demande du prévenu à être jugé par un tribunal - la condition préalable au renvoi pour jugement (art. 73 al. 1 et 2 DPA) et ne peut, en tant que telle, faire l'objet d'une plainte auprès de la Chambre de céans. L'indication des voies de recours figurant dans l'acte litigieux est à cet égard erronée. Lorsque le DFF a décidé que les conditions requises pour infliger une peine ou une mesure privative de liberté sont remplies, il appartient exclusivement à la DGD, conformément à l'art. 73 al. 1 DPA et sur la base de la décision du DFF, de transmettre le dossier au ministère public cantonal à l'intention du tribunal compétent. Ainsi, la mention contenue dans le dispositif 1 de la décision attaquée, se référant au ministère public et au canton auxquels sera transmis le dossier litigieux, n'a pas de portée propre. Néanmoins, conformément aux art. 22 DPA et 351 CP, le plaignant pourra attaquer, une fois prononcée, l'ordonnance de renvoi pour jugement (art. 73 al. 2 DPA) en se prévalant d'une violation des art. 346-350 CP. En effet, seule cette ordonnance circonscrit de manière contraignante quels sont les faits de la cause et désigne le juge cantonal qui va être saisi; ainsi, seul ce prononcé ouvre la voie à une procédure en contestation du for devant la Chambre de céans. Dès lors, le grief de la violation de l'art. 350 CP, soulevé de manière implicite dans la plainte, pourra être soumis à la Chambre d'accusation dans le cadre de la procédure prévue à l'art. 351 CP. Compte tenu de ce qui précède, la plainte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