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184</w:t>
      </w:r>
    </w:p>
    <w:p>
      <w:r>
        <w:t>Bundesgericht (BGE), 2002-01-01, DE</w:t>
      </w:r>
    </w:p>
    <w:p>
      <w:r>
        <w:rPr>
          <w:b/>
        </w:rPr>
        <w:t xml:space="preserve">Quelle: </w:t>
      </w:r>
      <w:r>
        <w:t>https://mcp.opencaselaw.ch/entscheid/bge_BGE_128_IV_184</w:t>
      </w:r>
    </w:p>
    <w:p>
      <w:r>
        <w:t>FR: ATF 128 IV 184</w:t>
      </w:r>
    </w:p>
    <w:p>
      <w:r>
        <w:t>IT: DTF 128 IV 184</w:t>
      </w:r>
    </w:p>
    <w:p>
      <w:pPr>
        <w:pStyle w:val="Heading2"/>
      </w:pPr>
      <w:r>
        <w:t>Regeste</w:t>
      </w:r>
    </w:p>
    <w:p>
      <w:r>
        <w:t>Regeste Art. 27 Abs. 1, Art. 26 Abs. 1 SVG; Pflicht zur Beachtung von nicht rechtmässig aufgestellten Signalen, Vertrauensprinzip. Auch nicht rechtmässig aufgestellte Signale oder Markierungen sind zu beachten, sofern sie einen schützenswerten Rechtsschein für andere Verkehrsteilnehmer begründen. Nichtigkeit kann nur in offenkundigen Ausnahmefällen angenommen werden (E. 4).</w:t>
      </w:r>
    </w:p>
    <w:p>
      <w:r>
        <w:t>Regeste Art. 27 al. 1, art. 26 al. 1 LCR; obligation de se conformer aux signaux apposés illégalement, principe de la confiance. Même s'ils n'ont pas été apposés de manière régulière, les signaux ou les marques doivent être observés dans la mesure où ils créent pour les autres usagers de la route une apparence juridique digne d'être protégée. Leur nullité ne peut être admise que dans des cas tout à fait exceptionnels (consid. 4).</w:t>
      </w:r>
    </w:p>
    <w:p>
      <w:r>
        <w:t>Regesto Art. 27 cpv. 1, art. 26 cpv. 1 LCStr; obbligo di osservare i segnali collocati illegalmente, principio della fiducia. Quand'anche non siano collocati in modo regolare, i segnali e le demarcazioni devono essere osservati nella misura in cui creano per gli altri utenti della strada un'apparenza giuridica che merita di essere protetta. La loro nullità può essere pronunciata solo in casi manifestamente eccezionali (consid. 4).</w:t>
      </w:r>
    </w:p>
    <w:p>
      <w:pPr>
        <w:pStyle w:val="Heading2"/>
      </w:pPr>
      <w:r>
        <w:t>Erwägungen</w:t>
      </w:r>
    </w:p>
    <w:p>
      <w:r>
        <w:rPr>
          <w:b/>
        </w:rPr>
        <w:t>E. 4.1</w:t>
      </w:r>
    </w:p>
    <w:p>
      <w:r>
        <w:t>Der Beschwerdeführer bringt vor, die Geschwindigkeit auf dem fraglichen Autobahnabschnitt sei zu Unrecht auf 80 km/h beschränkt worden. Die Verfügung des EDI über Geschwindigkeitsbeschränkungen auf der Nationalstrasse N 2 vom 18. Mai 1971 (BBl 1971 II 988), auf welche die Behörde sich stütze, erlaube eine Geschwindigkeitsbegrenzung nur im Belchentunnel selber, nicht aber auf den vorgelagerten Strecken. Auch der Wechsel zwischen Tunnels und offener Strecke rechtfertige keine Ausdehnung der Beschränkung. Die Signalisation leide an einem gravierenden Mangel und sei nicht bloss anfechtbar, sondern nichtig. Der Beschwerdeführer habe konkret keinen anderen Verkehrsteilnehmer gefährdet, der auf die nichtige Signalisation vertraut habe, und sei deshalb auch nicht strafbar. Das Obergericht hält die ausgedehnte Signalisation für zulässig angesichts des vorgelagerten Tunnels und der Spurverengung vor dem Belchentunnel. Jedenfalls sei sie mit Rücksicht auf die Rechtssicherheit im Strassenverkehr nicht als nichtig anzusehen.</w:t>
      </w:r>
    </w:p>
    <w:p>
      <w:r>
        <w:rPr>
          <w:b/>
        </w:rPr>
        <w:t>E. 4.2</w:t>
      </w:r>
    </w:p>
    <w:p>
      <w:r>
        <w:t>Art. 27 Abs. 1 SVG (SR 741.01) verlangt von den Strassenbenützern die Befolgung der Signale und Markierungen. Gemeint sind damit die rechtmässigen Verkehrszeichen. Denn es ist nicht der Sinn der genannten Gesetzesvorschrift, dem Verkehrsteilnehmer die Beachtung eines jeden Signals vorzuschreiben, völlig gleichgültig, ob dieses rechtmässig sei oder nicht ( BGE 99 IV 164 E. 5 S. 168; RENÉ SCHAFFHAUSER, Grundriss des schweizerischen Strassenverkehrsrechts, Bd. I, 1984, N. 287). Allerdings richten sich die Signale und Markierungen in der Regel an eine Vielzahl von BGE 128 IV 184 S. 186 Strassenbenützern. Diese müssen sich auf die Verkehrszeichen verlassen können, und eine allfällige Rechtswidrigkeit eines solchen Zeichens ist für sie meist nicht erkennbar. Würde beispielsweise einem rechtswidrig aufgestellten Stoppsignal oder rechtswidrig markierten Sicherheitslinien die Rechtsverbindlichkeit abgesprochen, wäre dies für Verkehrsteilnehmer, die auf den dadurch geschaffenen Rechtsschein vertrauen, mit grossen Gefahren verbunden. Im Interesse der Verkehrssicherheit verlangt die Rechtsprechung des Bundesgerichts deshalb, dass auch nicht rechtmässig aufgestellte Signale und Markierungen befolgt werden müssen.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 BGE 99 IV 164 E. 6 S. 169 f.; SCHAFFHAUSER, a.a.O., N. 288). Die genannte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 BGE 103 IV 190 ; BGE 98 IV 264 ). Die Verbindlichkeit vertrauensbegründender Verkehrszeichen findet eine Grenze zudem bei nichtigen Anordnungen, deren Mangelhaftigkeit besonders schwer wiegt und offensichtlich oder zumindest leicht erkennbar ist, freilich nur, wenn die Verkehrssicherheit der Annahme der Nichtigkeit nicht entgegensteht ( BGE 122 I 97 E. 3a/aa S. 99). Fehlerhafte Verkehrszeichen, die nicht geradezu nichtig sind, können auf dem Weg der Verwaltungsrechtspflege angefochten werden. Zwar kann an sich unter bestimmten Voraussetzungen auch der Strafrichter die Rechtmässigkeit von Allgemeinverfügungen, wie sie Verkehrssignale darstellen, überprüfen ( BGE 98 IV 264 E. 2 S. 266 f.; missverständlich in dieser Hinsicht BGE 113 IV 123 ; vgl. die Kritik zum zuletztgenannten Entscheid bei ULRICH HÄFELIN/GEORG MÜLLER, Grundriss des Allgemeinen Verwaltungsrechts, 3. Aufl. 1998, Rz. 742 f.); doch ändert nach dem Ausgeführten eine von ihm allenfalls festgestellte Rechtswidrigkeit eines Verkehrszeichens nichts an dessen Verbindlichkeit, solange es nicht geradezu nichtig ist (vgl. BGE 113 IV 123 E. 2b S. 124 f.).</w:t>
      </w:r>
    </w:p>
    <w:p>
      <w:r>
        <w:rPr>
          <w:b/>
        </w:rPr>
        <w:t>E. 4.3</w:t>
      </w:r>
    </w:p>
    <w:p>
      <w:r>
        <w:t>Signalisierungen der zulässigen Höchstgeschwindigkeit schaffen Vertrauen, auf das sich die Strassenbenützer bei vielen BGE 128 IV 184 S. 187 Verkehrsvorgängen (Abbiegen, Überholen etc.) müssen verlassen können. Nach den obigen Darlegungen sind daher auch rechtswidrig aufgestellte Höchstgeschwindigkeitssignale grundsätzlich zu beachten. Etwas anderes kann nur in besonderen Ausnahmefällen gelten, wenn solche Anordnungen ganz offenkundig mangelhaft und damit nichtig sind ( BGE 113 IV 123 E. 2b S. 124 f.; noch weniger einschränkend dagegen BGE 99 IV 164 E. 6 S. 170). Selbst wenn die in Frage stehende Geschwindigkeitsbeschränkung einen grösseren Streckenabschnitt abdecken sollte als in der massgebenden Verfügung des EDI erwähnt, ist sie im Lichte dieser Praxis keinesfalls nichtig. Weder ist sie offensichtlich und für alle erkennbar mangelhaft, noch kann sie übergangen werden, ohne die Rechtssicherheit und die Sicherheit der anderen Verkehrsteilnehmer zu gefährden. Im Gegenteil erscheint die Begrenzung der Höchstgeschwindigkeit nachvollziehbar angesichts des Wechsels von Tunnels und offener Strecke sowie der Spurverengung vor dem Belchentunnel. Unter diesen Umständen müssen die Verkehrsteilnehmer darauf vertrauen können, dass sich alle Fahrzeuglenker an die angegebene Höchstgeschwindigkeit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