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154</w:t>
      </w:r>
    </w:p>
    <w:p>
      <w:r>
        <w:t>Bundesgericht (BGE), 2002-01-01, DE</w:t>
      </w:r>
    </w:p>
    <w:p>
      <w:r>
        <w:rPr>
          <w:b/>
        </w:rPr>
        <w:t xml:space="preserve">Quelle: </w:t>
      </w:r>
      <w:r>
        <w:t>https://mcp.opencaselaw.ch/entscheid/bge_BGE_128_IV_154</w:t>
      </w:r>
    </w:p>
    <w:p>
      <w:r>
        <w:t>FR: ATF 128 IV 154</w:t>
      </w:r>
    </w:p>
    <w:p>
      <w:r>
        <w:t>IT: DTF 128 IV 154</w:t>
      </w:r>
    </w:p>
    <w:p>
      <w:pPr>
        <w:pStyle w:val="Heading2"/>
      </w:pPr>
      <w:r>
        <w:t>Regeste</w:t>
      </w:r>
    </w:p>
    <w:p>
      <w:r>
        <w:t>Regeste Art. 220 StGB (Entziehen von Unmündigen); faktisches Familienverhältnis, Registerelternschaft. Geschütztes Rechtsgut (E. 3.1). Zusammenfassung der Rechtsprechung zur Kindesentziehung bzw. zum Besuchsrechtsmissbrauch unter Scheidungsparteien (E. 3.2). Objektiver Tatbestand, Begriff des Inhabers der elterlichen "Gewalt" bzw. Sorge; Anwendbarkeit der familien- bzw. kindesrechtlichen Regeln (E. 3.3). Die elterliche Obhut des Registervaters, die ihm durch richterlichen Entscheid zugewiesen wurde, wird von der Registermutter verletzt, wenn sie das Kind in Überschreitung ihres Besuchsrechts ins Ausland verbringt und es nicht zurückbringt (E. 3.4-3.6). Art. 28 Abs. 1 StGB (Strafantrag); Rechtsmissbrauch. Der gegen die Registermutter erhobene Strafantrag des Registervaters, der während 11 Jahren die Elternfunktion ausgeübt hat, ist auch dann nicht rechtsmissbräuchlich, wenn der Registervater gemeinsam mit der Registermutter den unzutreffenden Registereintrag erschlichen hat (E. 4).</w:t>
      </w:r>
    </w:p>
    <w:p>
      <w:r>
        <w:t>Regeste Art. 220 CP (enlèvement de mineur); famille de fait, parenté ressortant des registres. Bien juridique protégé (consid. 3.1). Résumé de la jurisprudence sur l'enlèvement d'enfant, respectivement sur l'abus du droit de visite entre des parties en instance de divorce (consid. 3.2). Eléments objectifs de l'infraction, notion de l'"autorité" parentale, respectivement de la garde; applicabilité des règles du droit de la famille, respectivement de celles relatives à la protection des enfants (consid. 3.3). Le père, tel qu'il figure dans les registres, est lésé dans son droit de garde défini par une décision de justice lorsque la mère (inscrite dans les registres) outrepasse son droit de visite en conduisant l'enfant à l'étranger et en refusant de le ramener (consid. 3.4-3.6). Art. 28 al. 1 CP (plainte); abus de droit. Celui qui a été frauduleusement inscrit dans les registres comme père, mais qui a exercé sa fonction parentale durant 11 ans, ne commet pas un abus de droit lorsqu'il dépose une plainte (pour enlèvement de mineur) contre celle qui est inscrite comme mère, alors même qu'il avait participé avec elle à l'obtention frauduleuse de l'inscription (consid. 4).</w:t>
      </w:r>
    </w:p>
    <w:p>
      <w:r>
        <w:t>Regesto Art. 220 CP (sottrazione di minorenne); legami familiari di fatto, rapporto di filiazione risultante dai registri. Bene giuridico protetto (consid. 3.1). Richiamo della giurisprudenza sulla sottrazione di un minorenne, rispettivamente sull'abuso del diritto di visita tra le parti in istanza di divorzio (consid. 3.2). Elementi oggettivi del reato, nozione di "autorità" parentale, rispettivamente di custodia; applicabilità delle regole di diritto di famiglia, rispettivamente di quelle sulla protezione dei minori (consid. 3.3). Il diritto di custodia, conferito da una decisione giudiziaria a colui che è iscritto nei registri come padre, è leso quando colei che è iscritta nei registri come madre abusa del suo diritto di visita conducendo il figlio all'estero e rifiutandosi di riportalo (consid. 3.4-3.6). Art. 28 cpv. 1 CP (denuncia); abuso di diritto. Chi è stato iscritto in modo fraudulento nei registri in qualità di padre ma che ha esercitato la sua funzione parentale per 11 anni, non commette un abuso di diritto quando presenta una denuncia (per sottrazione di minorenne) contro colei che è iscritta nei registri come madre anche se aveva agito con quest'ultima per ottenere la falsa iscrizione (consid. 4).</w:t>
      </w:r>
    </w:p>
    <w:p>
      <w:pPr>
        <w:pStyle w:val="Heading2"/>
      </w:pPr>
      <w:r>
        <w:t>Erwägungen</w:t>
      </w:r>
    </w:p>
    <w:p>
      <w:r>
        <w:rPr>
          <w:b/>
        </w:rPr>
        <w:t>E. 1</w:t>
      </w:r>
    </w:p>
    <w:p>
      <w:r>
        <w:t>Auszugehen ist von folgendem (von der Vorinstanz gemäss Art. 277bis BStP verbindlich festgestellten) Sachverhalt:</w:t>
      </w:r>
    </w:p>
    <w:p>
      <w:r>
        <w:rPr>
          <w:b/>
        </w:rPr>
        <w:t>E. 1.1</w:t>
      </w:r>
    </w:p>
    <w:p>
      <w:r>
        <w:t>Die Beschwerdeführerin ist in Nordzypern aufgewachsen. Als Jugendliche zog sie nach London, wo sie im Jahre 1980 den privaten Beschwerdegegner kennenlernte, den sie am 1. September 1981 heiratete. Anschliessend nahmen die Eheleute in der Schweiz Wohnsitz. Da das Paar kinderlos blieb, entschloss es sich, ein neugeborenes Kind des Bruders und der Schwägerin der Beschwerdeführerin zu adoptieren. Nachdem die in der Türkischen Republik Nordzypern wohnhafte Schwägerin schwanger geworden war, täuschte die in der Schweiz lebende Beschwerdeführerin (mit einem angepolsterten Bauch) eine Schwangerschaft vor und erklärte, sie fahre nach Zypern, um dort zu gebären. Die Schwägerin gebar dort am 2. März 1988 ihren Sohn A. Am 9. März 1988 unterzeichneten die Beschwerdeführerin und ihr Ehemann beim Bezirksgericht Girne (Nordzypern) eine Adoptionsurkunde. Gleichzeitig erklärten B. (die Schwägerin der Beschwerdeführerin) und C. (der Bruder der Beschwerdeführerin), dass A. ihr von ihnen biologisch erzeugter Sohn sei und dass sie mit der Adoption ihres Sohnes durch die Beschwerdeführerin und deren Ehemann ausdrücklich einverstanden seien. Anschliessend reisten die Beschwerdeführerin und der private Beschwerdegegner mit dem Kind, das sie "D." nannten, in die Schweiz ein. Die beabsichtigte Adoption konnte jedoch in der Folge nicht vollzogen werden. BGE 128 IV 154 S. 157</w:t>
      </w:r>
    </w:p>
    <w:p>
      <w:r>
        <w:rPr>
          <w:b/>
        </w:rPr>
        <w:t>E. 1.2</w:t>
      </w:r>
    </w:p>
    <w:p>
      <w:r>
        <w:t>Nach dem Scheitern der Adoptionsbemühungen gerieten die Beschwerdeführerin und ihr Ehemann in den Besitz von gefälschten Geburtsurkunden, denen wahrheitswidrig zu entnehmen war, dass es sich bei der Beschwerdeführerin um die biologische Mutter des Kindes D. handle. Gestützt darauf liessen sie das Kind in den schweizerischen amtlichen Registern als ihren ehelichen Sohn eintragen. Dieser wuchs bei seinen "Registereltern" in der Schweiz auf und wurde hier eingeschult. Nachdem zwischen der Beschwerdeführerin und ihrem Ehemann Beziehungsprobleme aufgetreten waren, hielt sie sich ungefähr ab 1994 überwiegend in Ankara und in Nordzypern auf, wogegen der private Beschwerdegegner zusammen mit D. in Niederglatt lebte. Am 5. Januar 1998 reichte der Ehemann beim Bezirksgericht Dielsdorf Klage auf Ehescheidung gegen die Beschwerdeführerin ein.</w:t>
      </w:r>
    </w:p>
    <w:p>
      <w:r>
        <w:rPr>
          <w:b/>
        </w:rPr>
        <w:t>E. 1.3</w:t>
      </w:r>
    </w:p>
    <w:p>
      <w:r>
        <w:t>An Ostern 1998 fuhr die Beschwerdeführerin mit D. nach Nordzypern. Am 4. Juni 1998 erliess das Familiengericht von Girne eine Verfügung, wonach der Beschwerdeführerin und ihrem Ehemann (unter Androhung von Sanktionsfolgen) verboten werde, D. aus der Türkischen Republik Nordzypern wegzubringen. Gleichzeitig wurde die Rückführung des Kindes zu seinen biologischen Eltern angeordnet. Entgegen dieser richterlichen Verfügung verbrachte die Beschwerdeführerin das Kind heimlich über die Grenze in den griechischen Teil Zyperns, von wo aus beide wieder in die Schweiz gelangten.</w:t>
      </w:r>
    </w:p>
    <w:p>
      <w:r>
        <w:rPr>
          <w:b/>
        </w:rPr>
        <w:t>E. 1.4</w:t>
      </w:r>
    </w:p>
    <w:p>
      <w:r>
        <w:t>Anlässlich der Hauptverhandlung im hängigen Scheidungsprozess vom 3. September 1998 wurde eine Regelung der vorsorglichen Massnahmen getroffen und D. unter die Obhut des privaten Beschwerdegegners gestellt. Gleichzeitig räumte der Massnahmenrichter der Beschwerdeführerin ein Besuchsrecht ein, welches die Parteien von Fall zu Fall selbst regeln konnten. Für den Streitfall wurde angeordnet, dass die Beschwerdeführerin das Kind jeweils am ersten Wochenende jedes Monats, für drei Wochen während den Sommerschulferien sowie (in den geraden Kalenderjahren) an Ostern und Weihnachten bzw. (in den ungeraden Kalenderjahren) an Pfingsten und Neujahr zu sich oder mit sich auf Besuch nehmen durfte.</w:t>
      </w:r>
    </w:p>
    <w:p>
      <w:r>
        <w:rPr>
          <w:b/>
        </w:rPr>
        <w:t>E. 1.5</w:t>
      </w:r>
    </w:p>
    <w:p>
      <w:r>
        <w:t>Am 4. Juli 1999 reiste die Beschwerdeführerin erneut mit D. nach Nordzypern, wo er seither lebt. Am 10. August 1999 verfügte der Einzelrichter (im summarischen Verfahren) des Bezirksgerichtes Dielsdorf (auf entsprechendes Begehren des privaten Beschwerdegegners hin), dass die Beschwerdeführerin D. unverzüglich BGE 128 IV 154 S. 158 zurückzubringen habe. Mit Schreiben vom 24. August 1999 sprach sich D.s biologischer Vater gegen eine Rückführung des Kindes in die Schweiz aus. Gemäss seiner Sachdarstellung habe er der Beschwerdeführerin im Jahre 1988 lediglich gestattet, dass sie seinen Sohn in die Schweiz mitnehmen könne, um ihm zu ermöglichen, bei ihr in der Schweiz zu wohnen und seine schulische Ausbildung dort unter günstigeren Bedingungen zu absolvieren.</w:t>
      </w:r>
    </w:p>
    <w:p>
      <w:r>
        <w:rPr>
          <w:b/>
        </w:rPr>
        <w:t>E. 1.6</w:t>
      </w:r>
    </w:p>
    <w:p>
      <w:r>
        <w:t>Mit - zum Zeitpunkt des angefochtenen Urteils noch nicht rechtskräftigem - Urteil des Bezirksgerichtes (I. Abteilung) Dielsdorf vom 20. Oktober 1999 wurde die Ehe zwischen der Beschwerdeführerin und ihrem Gatten geschieden und D. unter die elterliche Gewalt des privaten Beschwerdegegners gestellt. Das Gericht hielt in seinen Erwägungen fest, es sei zwar nicht ausgeschlossen, dass D. nicht das leibliche Kind der Parteien (und der Zivilstandsregistereintrag demgemäss unzutreffend) sein könnte. Im Hinblick auf das Kindeswohl habe eine Registerberichtigung jedoch nicht von Amtes wegen zu erfolgen. Vielmehr stehe es den Betroffenen frei, das gesetzlich vorgesehene Anfechtungsverfahren einzuleiten. Mangels einer Anfechtung der Ehelichkeitsvermutung bzw. der Anerkennung des Kindesverhältnisses habe sich der Richter an die verurkundeten Gegebenheiten zu halten.</w:t>
      </w:r>
    </w:p>
    <w:p>
      <w:r>
        <w:rPr>
          <w:b/>
        </w:rPr>
        <w:t>E. 1.7</w:t>
      </w:r>
    </w:p>
    <w:p>
      <w:r>
        <w:t>Nach Abweisung eines Rekurses gegen die Rückführungsverfügung des Befehlsrichters vom 10. August 1999 wurde der Beschwerdeführerin (unter Androhung der Bestrafung wegen Ungehorsams gegen eine amtliche Verfügung, Art. 292 StGB ) befohlen, D. unverzüglich an den privaten Beschwerdegegner zu übergeben.</w:t>
      </w:r>
    </w:p>
    <w:p>
      <w:r>
        <w:rPr>
          <w:b/>
        </w:rPr>
        <w:t>E. 2</w:t>
      </w:r>
    </w:p>
    <w:p>
      <w:r>
        <w:t>Die Vorinstanz hat die Beschwerdeführerin wegen Entziehens eines Unmündigen ( Art. 220 StGB ) schuldig gesprochen, da sie das Kind D. am 4. Juli 1999 (ca. 09.15 Uhr) zur Ausübung des Besuchsrechtes abgeholt habe, anschliessend in den türkischen Teil Zyperns ausgereist sei und sich seither weigere, das Kind wieder in die Schweiz zu bringen und dem Erziehungsberechtigten zu übergeben.</w:t>
      </w:r>
    </w:p>
    <w:p>
      <w:r>
        <w:rPr>
          <w:b/>
        </w:rPr>
        <w:t>E. 2.1</w:t>
      </w:r>
    </w:p>
    <w:p>
      <w:r>
        <w:t>Die Vorinstanz geht davon aus, dass die Beschwerdeführerin und der private Beschwerdegegner nicht die leiblichen Eltern (oder Adoptiveltern) des Kindes seien. Darüber müsse jedoch nicht abschliessend entschieden werden, da auch der blosse "Registervater" Träger der elterlichen Gewalt im Sinne von Art. 220 StGB sein könne.</w:t>
      </w:r>
    </w:p>
    <w:p>
      <w:r>
        <w:rPr>
          <w:b/>
        </w:rPr>
        <w:t>E. 2.2</w:t>
      </w:r>
    </w:p>
    <w:p>
      <w:r>
        <w:t>Die Beschwerdeführerin macht geltend, der Registereintrag sei "nachgewiesenermassen unrichtig, ja von ihr" und dem privaten BGE 128 IV 154 S. 159 Beschwerdegegner "mittels gefälschter Geburtsurkunde erschlichen worden". Sowohl die I. Zivilkammer (welche mit dem Scheidungsverfahren befasst war) als auch die II. Strafkammer des Obergerichtes gingen davon aus, dass der Registereintrag falsch und das Kind D. weder der Sohn der Beschwerdeführerin noch des privaten Beschwerdegegners sei. Zwar werde im angefochtenen Urteil erwogen, das bestehende faktische Kindesverhältnis bzw. die Registerelternschaft könne nur (auf entsprechende Anfechtungsklage hin) durch richterliche Anordnung der Registerberichtigung beseitigt werden. Da "aufgrund der Parteiaussagen und der Urkunden" jedoch fest stehe, dass der Registereintrag falsch sei, werde im angefochtenen Strafurteil "klar Bundesrecht verletzt". Ausserdem erscheine der Strafantrag des geschiedenen Ehemannes "in höchstem Grade als rechtsmissbräuchlich".</w:t>
      </w:r>
    </w:p>
    <w:p>
      <w:r>
        <w:rPr>
          <w:b/>
        </w:rPr>
        <w:t>E. 3</w:t>
      </w:r>
    </w:p>
    <w:p>
      <w:r>
        <w:t>Gemäss Art. 220 StGB wird (auf Antrag) mit Gefängnis oder mit Busse bestraft, wer eine unmündige Person dem Inhaber der elterlichen oder der vormundschaftlichen Gewalt (bzw. Sorge) entzieht oder sich weigert, sie ihm zurückzugeben.</w:t>
      </w:r>
    </w:p>
    <w:p>
      <w:r>
        <w:rPr>
          <w:b/>
        </w:rPr>
        <w:t>E. 3.1</w:t>
      </w:r>
    </w:p>
    <w:p>
      <w:r>
        <w:t>Art. 220 StGB stellt ein Vergehen gegen die Familie (Sechster Titel StGB) unter Strafe. Geschütztes Rechtsgut ist primär die Ausübung der Rechte und Pflichten durch den betroffenen Inhaber der elterlichen Gewalt bzw. Sorge ( BGE 125 IV 14 E. 2a S. 15; BGE 118 IV 61 E. 2a S. 63; BGE 108 IV 22 S. 24; BGE 98 IV 35 E. 2 S. 37, je mit Hinweisen; Botschaft über die Änderung des StGB vom 26. Juni 1985, BBl 1985 II 1009ff., S. 1060; vgl. SUSANNE HÜPPI, Straf- und zivilrechtliche Aspekte der Kindesentziehung gemäss Art. 220 StGB mit Schwergewicht auf den Kindesentführungen durch einen Elternteil, Diss. Zürich 1988, S. 22 ff., 42; MARTIN SCHUBARTH, in: Guido Jenny/Martin Schubarth/Peter Albrecht, Kommentar zum schweizerischen Strafrecht, Besonderer Teil, Bd. 4: Delikte gegen die sexuelle Integrität und gegen die Familie, Bern 1997, Art. 220 N. 8 f.; GÜNTER STRATENWERTH, Schweizerisches Strafrecht, Besonderer Teil II, Straftaten gegen Gemeininteressen, 5. Aufl., Bern 2000, § 27 Rz. 3). Von der Kindesentziehung ist allerdings nicht nur der Erziehungsberechtigte betroffen, sondern auch das Kind, wie gerade der hier zu beurteilende Fall deutlich zeigt. Mittelbar dient Art. 220 StGB daher auch dem Schutz des Familienfriedens bzw. des Kindeswohls ( BGE 92 IV 1 E. a S. 2; vgl. HÜPPI, a.a.O., S. 30; SCHUBARTH, a.a.O., N. 8).</w:t>
      </w:r>
    </w:p>
    <w:p>
      <w:r>
        <w:rPr>
          <w:b/>
        </w:rPr>
        <w:t>E. 3.2</w:t>
      </w:r>
    </w:p>
    <w:p>
      <w:r>
        <w:t>Nach der Rechtsprechung des Bundesgerichtes kann sich auch ein Elternteil der Entziehung eines Unmündigen strafbar BGE 128 IV 154 S. 160 machen, der seinem Ehepartner das Kind vorenthält. Dies gilt namentlich für den Fall, dass ein Elternteil, dem im Rahmen vorsorglicher Massnahmen im Scheidungsverfahren ein Besuchsrecht zugesprochen wurde, dieses Besuchsrecht überschreitet bzw. sich weigert, das Kind dem Inhaber der elterlichen Obhut zurückzubringen ( BGE 110 IV 35 E. 1c S. 37; BGE 108 IV 22 S. 24; BGE 98 IV 35 E. 2 S. 37 f., je mit Hinweisen; vgl. auch BGE 125 IV 14 E. 2b S. 16; BGE 118 IV 61 E. 2a S. 63). Gemäss BGE 95 IV 67 f. dürfte selbst ein Ehegatte, der im "ungeschmälerten Besitz der elterlichen Gewalt" steht (also vor einem Zuteilungsentscheid des Massnahmenrichters), nicht eigenmächtig über das Kind verfügen und dieses dem Ehepartner entziehen. Da beide Elternteile das Recht haben, an der Betreuung und Erziehung mitzuwirken, dürfe der andere Ehegatte die elterliche Gewalt nicht für sich alleine beanspruchen.</w:t>
      </w:r>
    </w:p>
    <w:p>
      <w:r>
        <w:rPr>
          <w:b/>
        </w:rPr>
        <w:t>E. 3.3</w:t>
      </w:r>
    </w:p>
    <w:p>
      <w:r>
        <w:t>Gemäss den für den Kassationshof verbindlichen tatsächlichen Feststellungen der Vorinstanz ( Art. 277bis Abs. 1 Satz 2 BStP ) handelt es sich bei der Beschwerdeführerin und dem privaten Beschwerdegegner weder um die leiblichen noch um Adoptiveltern des Kindes D. Solange sie unmündig sind, stehen Kinder unter elterlicher Sorge ( Art. 296 Abs. 1 ZGB ). Während der Ehe üben die Eltern das Sorgerecht gemeinsam aus. Wird der gemeinsame Haushalt aufgehoben oder die Ehe getrennt, so kann das Gericht die elterliche Sorge einem Ehegatten allein zuteilen ( Art. 297 Abs. 1 und 2 ZGB ). Grundsätzlich bestimmt sich der Inhaber der elterlichen Gewalt (bzw. Sorge) im Sinne von Art. 220 StGB (i.V.m. Art. 296 f. ZGB) nach den Regeln des Zivilrechts ( BGE 92 IV 1 E. b S. 3; vgl. HÜPPI, a.a.O., S. 6; JÖRG REHBERG, Strafrecht IV, Delikte gegen die Allgemeinheit, 2. Aufl., Zürich 1996, S. 21; SCHUBARTH, a.a.O., Art. 220 N. 20; STEFAN TRECHSEL, Schweizerisches Strafgesetzbuch, Kurzkommentar, 2. Aufl., Zürich 1997, Art. 220 N. 1). Das Kindesverhältnis entsteht nach den Bestimmungen von Art. 252-269c ZGB zur Mutter durch Geburt oder Adoption, zum Vater durch die Ehe mit der Mutter oder durch besonderen Rechtsakt (Adoptionsverfügung, Kindesanerkennung, Vaterschaftsurteil; vgl. dazu CYRIL HEGNAUER, Grundriss des Kindesrechts und des übrigen Verwandtschaftsrechts, 5. Aufl., Bern 1999, Rz. 2.06, 3.02 ff.). Im vorliegenden Fall ist kein solches gesetzliches Kindesverhältnis zwischen dem Kind und der Beschwerdeführerin bzw. dem privaten Beschwerdegegner ersichtlich. Nach Auffassung der Beschwerdeführerin sei daher der objektive Tatbestand von Art. 220 StGB BGE 128 IV 154 S. 161 nicht anwendbar. Das Fehlen eines gesetzlichen Kindesverhältnisses schliesst indessen die Ausübung elterlicher Gewalt/Sorge (bzw. die Ausübung einer familienrechtlich geschützten Erziehungsbefugnis) im Rahmen einer faktischen Elternschaft nicht zum Vornherein aus. Laut bundesrätlicher Botschaft könne Art. 220 StGB namentlich auf Fälle anwendbar sein, "in denen die unmündige Person von einem Heim oder einem anderen Pflegeort weggeholt oder ferngehalten wird" (BBl 1985 II 1060; vgl. auch GVP/AR 1990, Nr. 3167, S. 91; HÜPPI, a.a.O., S. 6, 36 ff., 126 ff.; SCHUBARTH, a.a.O, Art. 220 N. 29 in fine; TRECHSEL, a.a.O., Art. 220 N. 1). Auch das Familienrecht anerkennt (in gewissen Grenzen) die vertretungsweise ausgeübte bzw. die faktische "elterliche Gewalt" (z.B. von Pflegeeltern [ Art. 300 ZGB ], des Stiefelternteils [ Art. 299 ZGB ] oder von anderen Betreuern, zu denen kein gesetzliches Kindesverhältnis im Sinne von Art. 252-269c ZGB besteht). Faktische Familienverhältnisse können unter gewissen Umständen auch kindesrechtliche Befugnisse und Pflichten nach sich ziehen (vgl. HEGNAUER, Grundriss des Kindesrechts, a.a.O., Rz. 10.04, 25.11 ff., 27.43). Unter welchen konkreten Umständen auch faktische Familien durch Art. 220 StGB strafrechtlich geschützt werden, ist hier jedoch nicht abschliessend zu beurteilen. Entscheidend erscheint im vorliegenden Fall nämlich, dass der Massnahmenrichter im Scheidungsverfahren die elterliche Obhut des Kindes am 3. September 1998 dem privaten Beschwerdegegner zugewiesen hat.</w:t>
      </w:r>
    </w:p>
    <w:p>
      <w:r>
        <w:rPr>
          <w:b/>
        </w:rPr>
        <w:t>E. 3.4</w:t>
      </w:r>
    </w:p>
    <w:p>
      <w:r>
        <w:t>Für die Frage, ob das hier zu beurteilende faktische Kindesverhältnis unter strafrechtlichem Schutz steht, erscheinen folgende Gesichtspunkte von massgeblicher Bedeutung: Zunächst war das (angebliche leibliche) Kindesverhältnis zur Beschwerdeführerin und zum privaten Beschwerdegegner seit vierzehn Jahren in den Zivilstandsregistern (Familienregister) eingetragen. Nach den verbindlichen Feststellungen der Vorinstanz blieb der Eintrag bis heute unangefochten. Die öffentlichen Register bringen den vollen Beweis der durch sie bezeugten Tatsachen, bis die allfällige Unrichtigkeit der Eintragung nachgewiesen ist ( Art. 9 Abs. 1 ZGB , sog. "öffentlicher Glaube" bzw. Publizitätswirkung der Register; vgl. BGE 117 II 11 E. 4 S. 12 f.; BGE 110 II 1 E. 3a S. 2 f.; BGE 74 II 206 , je mit Hinweisen; s. auch ANDREAS BUCHER, Natürliche Personen und Persönlichkeitsschutz, 3. Aufl., Basel 1999, Rz. 287; CYRIL HEGNAUER, Berner Kommentar zum ZGB, Bern 1984, Art. 252 ZGB N. 59, Art. 255 ZGB N. 55). "Registereltern" können grundsätzlich (ungeachtet ihrer tatsächlichen Elternschaft) die Rechte und Pflichten BGE 128 IV 154 S. 162 aus dem Kindesverhältnis geltend machen, wozu (im Rahmen der elterlichen Sorge) auch die Erziehungsbefugnis gehört. Das entsprechende faktische Kindesverhältnis und dessen Wirkungen können nur dadurch beseitigt werden, dass ein schweizerischer Richter (auf entsprechende Berichtigungsklage hin) die Nichtelternschaft der fälschlich registrierten Person feststellt und die entsprechende Registerberichtigung verfügt (vgl. HEGNAUER, Kommentar ZGB, a.a.O., Art. 252 ZGB N. 71 f., 88; Art. 255 ZGB N. 55, 64 ff.; s. auch BGE 41 II 425 ). Im vorliegenden Fall kommt hinzu, dass sowohl im vorsorglichen Massnahmenentscheid vom 3. September 1998 als auch im Scheidungsurteil vom 20. Oktober 1999 die elterliche Obhut des Kindes dem privaten Beschwerdegegner zugewiesen wurde, und zwar ausdrücklich im Wissen darum, dass es sich womöglich um eine blosse "Registervaterschaft" handeln könnte.</w:t>
      </w:r>
    </w:p>
    <w:p>
      <w:r>
        <w:rPr>
          <w:b/>
        </w:rPr>
        <w:t>E. 3.5</w:t>
      </w:r>
    </w:p>
    <w:p>
      <w:r>
        <w:t>Nicht zu folgen ist der Argumentation der Beschwerdeführerin, bei lediglich faktischen Familienverhältnissen bzw. bei "Registereltern" sei der objektive Tatbestand von Art. 220 StGB zum Vornherein ausgeschlossen. Im vorliegenden Fall haben die Beschwerdeführerin, der private Beschwerdegegner und das Kind D. zunächst während etwa sechs Jahren zu dritt als Familie zusammengelebt. Unbestrittenermassen waren die Beschwerdeführerin und ihr damaliger Ehemann zumindest faktisch und aus sozialer Sicht die Eltern des Kindes. Der private Beschwerdegegner hat das Kind während mehr als elf Jahren betreut. Dabei war er ca. fünf Jahre lang auf sich alleine gestellt, nachdem die Beschwerdeführerin den gemeinsamen Haushalt ungefähr 1994 verlassen hatte und sich danach überwiegend in Ankara und Nordzypern aufhielt. Selbst wenn der Eintrag der (biologischen) Elternschaft im Zivilstandsregister (nach dem Scheitern der Adoptionsbemühungen) auf einer gefälschten Geburtsurkunde beruhte, stehen die betroffenen Rechtsgüter grundsätzlich unter dem Schutz von Art. 220 StGB . Auch bei blossen "Registereltern", die zwar weder die biologischen noch die Adoptiveltern des betroffenen Kindes sind, die aber mit dem Kind über längere Zeit als Familie zusammenleben, kann grundsätzlich ein schutzwürdiges Interesse an der Bewahrung des Familienfriedens bzw. am Schutz der Befugnisse des faktisch Erziehungsberechtigten bestehen. In diesem Zusammenhang ist auch dem grundrechtlichen Gesamtkontext Rechnung zu tragen. Kinder und Jugendliche haben Anspruch auf besonderen Schutz ihrer BGE 128 IV 154 S. 163 Unversehrtheit und auf Förderung ihrer Entwicklung ( Art. 11 Abs. 1 BV ). Art. 14 BV gewährleistet das Recht auf Familie. Auch Art. 8 EMRK schützt das Familienleben vor staatlichen (bzw. staatlich geduldeten) Eingriffen. Unter den Schutz von Art. 8 EMRK fallen grundsätzlich nicht nur leibliche Elternschaften oder Adoptiv-Kindesverhältnisse, sondern (in gewissen Grenzen) auch faktisch-soziale Lebensgemeinschaften. Von zentraler Bedeutung ist in dem Zusammenhang das Kindeswohl (vgl. JOCHEN A. FROWEIN/WOLFGANG PEUKERT, Europäische Menschenrechtskonvention, EMRK-Kommentar, 2. Aufl., Kehl u.a. 1996, Art. 8 N. 15, 22 ff.). Das UNO-Übereinkommen über die Rechte des Kindes vom 20. November 1989 (SR 0.107) schützt das Kind ausdrücklich vor rechtswidrigen Eingriffen in seine Familienbeziehungen bzw. vor rechtswidriger Trennung von seinen Eltern bzw. einem Elternteil (vgl. Art. 8 und Art. 9 UNO-Kinderrechtekonvention, s. auch Art. 14 Abs. 2, Art. 16 und Art. 18 Abs. 1).</w:t>
      </w:r>
    </w:p>
    <w:p>
      <w:r>
        <w:rPr>
          <w:b/>
        </w:rPr>
        <w:t>E. 3.6</w:t>
      </w:r>
    </w:p>
    <w:p>
      <w:r>
        <w:t>Nach dem Gesagten steht die Auffassung der Vorinstanz, der private Beschwerdegegner sei Träger der elterlichen Gewalt im Sinne von Art. 220 StGB gewesen, im Einklang mit dem Bundesrecht. Da die Beschwerdeführerin am 4. Juli 1999 lediglich ein (vom Massnahmenrichter eingeräumtes) Besuchsrecht ausübte und das Kind seither nicht an den Erziehungsberechtigten zurückbrachte, ist der objektive Tatbestand von Art. 220 StGB erfüllt. Sie ist strafrechtlich gleich zu behandeln wie ein leiblicher Elternteil, der sein Besuchsrecht im Rahmen angeordneter vorsorglicher Massnahmen überschreitet bzw. die Rückgabe des Kindes verweigert (vgl. BGE 125 IV 14 E. 2b S. 16; BGE 110 IV 35 E. 1c S. 37; BGE 108 IV 22 S. 24).</w:t>
      </w:r>
    </w:p>
    <w:p>
      <w:r>
        <w:rPr>
          <w:b/>
        </w:rPr>
        <w:t>E. 4</w:t>
      </w:r>
    </w:p>
    <w:p>
      <w:r>
        <w:t>Ein Strafantrag des Erziehungsberechtigten liegt ebenfalls vor. Nach der Praxis des Bundesgerichtes kommt einem Elternteil, dem (im Rahmen vorsorglicher Massnahmen im Scheidungsverfahren) die Obhut über das Kind zugeteilt wurde, auch gegenüber dem anderen Elternteil das Strafantragsrecht zu ( BGE 108 IV 22 S. 24 f.). Entgegen der Auffassung der Beschwerdeführerin erscheint der Strafantrag des privaten Beschwerdegegners nicht als rechtsmissbräuchlich erhoben. Ein rechtsmissbräuchlicher Strafantrag ist gerade bei Kindesentziehung nur mit Zurückhaltung anzunehmen (vgl. BGE 104 IV 90 E. 3b S. 95). Rechtsmissbrauch liegt vor, wenn die Strafverfolgung wegen eines Verhaltens verlangt wird, das der Antragssteller durch rechtswidrige Provokation ausgelöst hat. Ein solcher Fall ist nach der Praxis des Bundesgerichtes gegeben, wenn der strafantragstellende BGE 128 IV 154 S. 164 Elternteil die Ausübung des Besuchsrechtes durch den anderen Elternteil zunächst ständig schikanös behindert hat und dann wegen geringfügiger Überschreitung des Besuchsrechtes eine Bestrafung beantragt ( BGE 105 IV 229 E. 2-4 S. 231 ff.; BGE 104 IV 90 E. 3 S. 94-96). Im vorliegenden Fall hat der Registervater während elf Jahren die Elternfunktion ausgeübt und faktisch gelebt. Folgerichtig hat ihm der Massnahmenrichter mit Verfügung vom 3. September 1998 die elterliche Obhut über das Kind anvertraut. Der private Beschwerdegegner hatte im Zeitpunkt des inkriminierten Sachverhaltes somit ein schutzwürdiges Interesse an der Respektierung seiner Betreuungsrechte. Dass er das Besuchsrecht der Beschwerdeführerin behindert hätte, wird nicht behauptet und geht auch nicht aus den Akten hervor. Was den unzutreffenden Registereintrag betrifft, kann sich die Beschwerdeführerin nach Treu und Glauben nicht auf Rechtsmissbrauch berufen, nachdem sie (nach eigener Darlegung) an der Erschleichung des Registereintrages selbst massgeblich beteiligt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