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106</w:t>
      </w:r>
    </w:p>
    <w:p>
      <w:r>
        <w:t>Bundesgericht (BGE), 2002-01-01, DE</w:t>
      </w:r>
    </w:p>
    <w:p>
      <w:r>
        <w:rPr>
          <w:b/>
        </w:rPr>
        <w:t xml:space="preserve">Quelle: </w:t>
      </w:r>
      <w:r>
        <w:t>https://mcp.opencaselaw.ch/entscheid/bge_BGE_128_IV_106</w:t>
      </w:r>
    </w:p>
    <w:p>
      <w:r>
        <w:t>FR: ATF 128 IV 106</w:t>
      </w:r>
    </w:p>
    <w:p>
      <w:r>
        <w:t>IT: DTF 128 IV 106</w:t>
      </w:r>
    </w:p>
    <w:p>
      <w:pPr>
        <w:pStyle w:val="Heading2"/>
      </w:pPr>
      <w:r>
        <w:t>Regeste</w:t>
      </w:r>
    </w:p>
    <w:p>
      <w:r>
        <w:t>Regeste Art. 189 Abs. 1, Art. 190 Abs. 1 StGB, sexuelle Nötigung und Vergewaltigung, psychisches Unterdrucksetzen; Art. 193 Abs. 1 StGB, Ausnützen der Notlage. Anforderungen an das Nötigungsmittel des Unter-psychischen-Druck-Setzens bei erwachsenen Opfern (E. 3a). Ausnützen einer Abhängigkeit. Eine in anderer Weise begründete Abhängigkeit im Sinne von Art. 193 StGB kann zwischen einem Psychotherapeuten und seiner Patientin bestehen. Abgrenzung zwischen therapiebedingter Abhängigkeit und psychischem Druck gemäss Art. 189 und 190 StGB (E. 3b und c).</w:t>
      </w:r>
    </w:p>
    <w:p>
      <w:r>
        <w:t>Regeste Art. 189 al. 1, art. 190 al. 1 CP, contrainte sexuelle et viol, pressions d'ordre psychique; art. 193 al. 1 CP, abus de la détresse. Exigences quant au moyen de contrainte utilisé pour exercer une pression d'ordre psychique sur des victimes adultes (consid. 3a). Abus d'un lien de dépendance. Entre un psychothérapeute et sa patiente, il peut exister un "lien de dépendance de toute autre nature" au sens de l'art. 193 CP. Limite entre le lien de dépendance résultant de la thérapie et la pression d'ordre psychique selon les art. 189 et 190 CP (consid. 3b et c).</w:t>
      </w:r>
    </w:p>
    <w:p>
      <w:r>
        <w:t>Regesto Art. 189 cpv. 1, art. 190 cpv. 1 CP, coazione sessuale e violenza carnale, pressioni psicologiche; art. 193 cpv. 1 CP, sfruttamento dello stato di bisogno. Esigenze per quanto concerne i metodi di coazione utilizzati per esercitare una pressione psicologica su vittime adulte (consid. 3a). Sfruttamento dello stato di bisogno. Tra uno psicoterapeuta e la sua paziente può esistere un rapporto di dipendenza di un'altra natura ai sensi dell'art. 193 CP. Delimitazione tra il rapporto di dipendenza risultante dalla terapia e la pressione psicologica degli art. 189 e 190 CP (consid. 3b e c).</w:t>
      </w:r>
    </w:p>
    <w:p>
      <w:pPr>
        <w:pStyle w:val="Heading2"/>
      </w:pPr>
      <w:r>
        <w:t>Erwägungen</w:t>
      </w:r>
    </w:p>
    <w:p>
      <w:r>
        <w:rPr>
          <w:b/>
        </w:rPr>
        <w:t>E. 1</w:t>
      </w:r>
    </w:p>
    <w:p>
      <w:r>
        <w:t>Der Beschwerdeführer wendet sich nicht gegen den Schuldspruch der mehrfachen Schändung im Sinne von Art. 191 StGB (Sachverhalt gemäss Bst. A. 4. Absatz). Darauf ist nicht zurückzukommen.</w:t>
      </w:r>
    </w:p>
    <w:p>
      <w:r>
        <w:rPr>
          <w:b/>
        </w:rPr>
        <w:t>E. 2</w:t>
      </w:r>
    </w:p>
    <w:p>
      <w:r>
        <w:t>(Vorbringen des Beschwerdeführers und Erwägungen der Vorinstanz)</w:t>
      </w:r>
    </w:p>
    <w:p>
      <w:r>
        <w:rPr>
          <w:b/>
        </w:rPr>
        <w:t>E. 3</w:t>
      </w:r>
    </w:p>
    <w:p>
      <w:r>
        <w:t>a) aa) 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 Im Gegensatz zum früheren Recht (Art. 188 aStGB) setzt eine sexuelle Nötigung gemäss Art. 189 StGB nicht mehr die Widerstandsunfähigkeit des Opfers voraus. Immer ist aber eine erhebliche Einwirkung erforderlich ( BGE 122 IV 97 E. 2b; BGE 126 IV 124 E. 3a). bb) 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BGE 128 IV 106 S. 111 Situation für das Opfer auch ergeben kann, ohne dass der Täter eigentliche Gewalt anwendet; es kann vielmehr genügen, dass dem Opfer eine Widersetzung unter solchen Umständen aus anderen Gründen nicht zuzumuten ist. Der Gesetzgeber wollte mit der genannten Tatvariante sicherstellen, dass der Tatbestand alle erheblichen Nötigungsmittel erfasst, auch solche ohne unmittelbaren Bezug zu physischer Gewalt. Es sollte etwa auch das Opfer durch Art. 189 und 190 StGB geschützt werden, das durch Überraschungseffekt, Erschrecken, Verblüffung oder auf Grund einer ausweglosen Lage keinen Widerstand leistet ( BGE 122 IV 97 E. 2b S. 100 mit Hinweisen). Damit wird deutlich, dass eine Situation für das Opfer bereits auf Grund der sozialen und körperlichen Dominanz des Täters aussichtslos im Sinne der genannten Tatbestände sein kann. Diese Dominanz muss nicht notwendigerweise mit der Furcht des Opfers vor körperlicher Gewalt verknüpft sein; vielmehr kann für eine tatbestandsmässige Nötigung gegebenenfalls etwa schon genügen, wenn das Opfer Angst vor der Unnachgiebigkeit oder Strenge des Täters hat, den Verlust seiner Zuneigung oder derjenigen anderer Bezugspersonen fürchtet, unter dem Eindruck eines Schweigegebots in einen unentrinnbaren, lähmenden Gewissenskonflikt gerät, oder wenn der Täter das Opfer psychisch und physisch so erschöpft, dass es sich dem ungewollten Sexualakt nicht mehr widersetzt (vgl. BGE 122 IV 97 E. 2 mit Hinweisen; BGE 124 IV 154 ; BGE 126 IV 124 E. 3b mit Hinweisen; Urteil des Bundesgerichts 6S.199/2000 vom 10. April 2001).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 hinlänglich typisierbare Merkmale stützen muss ( BGE 124 IV 154 E. 3b). Das Ausmass der Beeinflussung, das für den psychischen Druck erforderlich ist, bleibt aber letztlich unbestimmbar (REHBERG/SCHMID, Strafrecht III, 7. Aufl., Zürich 1997, S. 393), weshalb diese Bestimmung vorsichtig auszulegen ist (vgl. GUIDO JENNY, Kommentar zum schweizerischen Strafrecht, Bd. 4, Bern 1997, Art. 189 N. 10 ff.; TRECHSEL, Kurzkommentar StGB, 2. Aufl., Zürich 1997, Art. 189 N. 6; kritisch auch PETER HANGARTNER, Selbstbestimmung im Sexualbereich - Art. 188-193 StGB , Diss. St. Gallen 1997, S. 144 f.; ferner JENNY, Die strafrechtliche Rechtsprechung des Bundesgerichts im Jahre 1998, in: ZBJV 135/1999 S. 639 ff.; PHILIPP MAIER, Das Tatbestandsmerkmal des Unter-psychischen-Druck-Setzens BGE 128 IV 106 S. 112 im Schweizerischen Strafgesetzbuch, in: ZStrR 117/1999 S. 402, 417 f.). Diese ursprünglich auf dem Hintergrund von sexuellem Kindsmissbrauch entwickelte Rechtsprechung ( BGE 124 IV 154 ; BGE 122 IV 97 ) gilt gemäss BGE 126 IV 124 E. 3d S. 130 auch im Erwachsenenstrafrecht. Das Bundesgericht hat jedoch schon früh darauf hingewiesen, dass Erwachsenen mit entsprechenden individuellen Fähigkeiten eine stärkere Gegenwehr zuzumuten ist als Kindern ( BGE 122 IV 97 E. 2b S. 101). Das bedeutet, dass die im Zusammenhang mit der sexuellen Ausbeutung von Kindern entwickelten Grundsätze zum Nötigungsmittel des psychischen Druckes, die den Besonderheiten einer Ausnützung des Erwachsenen-Kind-Gefälles Rechnung tragen, sich nicht generell und unbesehen auf Erwachsene übertragen lassen. So kommt etwa dem einem Kind auferlegten Schweigegebot in aller Regel eine andere Bedeutung zu als bei einem Erwachsenen. Gleiches gilt für die Androhung des Entzugs der Zuneigung oder die Angst vor der (erzieherischen) Unnachgiebigkeit oder Strenge des Täters. Bei Erwachsenen kommt ein psychischer Druck daher nur bei ungewöhnlich grosser kognitiver Unterlegenheit oder emotionaler wie sozialer Abhängigkeit in Betracht. Wie schon in BGE 124 IV 154 E. 3c S. 161 angedeutet, genügt demgegenüber das Ausnützen allgemeiner Abhängigkeits- oder Freundschaftsverhältnisse für sich genommen nicht, um einen relevanten psychischen Druck im Sinne von Art. 189 Abs. 1 und Art. 190 Abs. 1 StGB zu begründen. b) Art. 193 Abs. 1 StGB erfüllt, wer eine Person veranlasst, eine sexuelle Handlung vorzunehmen oder zu dulden, indem er eine Notlage oder eine durch ein Arbeitsverhältnis oder eine in anderer Weise begründete Abhängigkeit ausnützt. Art. 193 StGB tritt als leichterer Angriff auf die sexuelle Freiheit gegenüber den Art. 187, 188, 189, 190, 191 und 192 StGB zurück (JENNY, Kommentar, Art. 193 StGB N. 16 ff.). Zwischen einem Psychotherapeuten und seinem Patienten kann allein schon auf Grund der therapeutischen Beziehung ein Abhängigkeitsverhältnis im Sinne des Tatbestandes der Ausnützung der Notlage gemäss Art. 193 Abs. 1 StGB bestehen (eingehend BGE 124 IV 13 E. 2c/cc S. 16-18 zum entsprechenden Art. 197 Abs. 1 aStGB). Bei der "in anderer Weise" begründeten Abhängigkeit steht nach einhelliger Auffassung der sexuelle Missbrauch von Patienten durch Psychotherapeuten im Vordergrund (JENNY, Kommentar, Art. 193 StGB N. 9 mit Hinweisen). Daraus ergibt sich, dass nicht allein schon BGE 128 IV 106 S. 113 gestützt auf das Therapeuten-Patienten-Verhältnis auf einen psychischen Druck des Patienten im Sinne der Art. 189 und 190 StGB geschlossen werden kann, ansonsten dem Merkmal der in anderer Weise (als durch ein Arbeitsverhältnis oder durch eine Notlage) begründeten Abhängigkeit gemäss Art. 193 StGB eine eigenständige Bedeutung weitgehend abginge. In der Regel wird das Ausnützen von Abhängigkeitsverhältnissen abschliessend von den Art. 188, 192 und 193 StGB erfasst sein, wobei dem Charakter des Abhängigkeitsverhältnisses oder dem Umstand, dass es sich um ein besonders schwaches Opfer handelt, bei der Strafzumessung zu berücksichtigen sein wird (in diesem Sinne JENNY, Kommentar, Art. 189 StGB N. 14; anderer Meinung - ohne nähere Begründung - HANGARTNER, a.a.O., S. 244). Nur in den Fällen, in denen der vom Täter ausgeübte Druck die in den erwähnten Bundesgerichtsentscheiden (oben E. 3a/bb) dargelegte Intensität erreicht, kommen die Tatbestände der sexuellen Nötigung und der Vergewaltigung in Betracht. Wann eine therapiebedingte Abhängigkeit in einen psychischen Druck übergeht, der unter Art. 189 und 190 StGB fällt, lässt sich nicht allgemein beantworten (dazu etwa JÖRG REHBERG/NIKLAUS SCHMID, Strafrecht III, 7. Aufl., Zürich 1997, § 58 Ziff. 3.1, S. 406; GÜNTER STRATENWERTH, Schweizer Strafrecht, BT I, 5. Aufl., Bern 1995, § 7 N. 50 und § 8 N. 9). Für die Abgrenzung wird namentlich der Charakter der sexuellen Nötigung und der Vergewaltigung als Gewaltdelikte zu beachten sein. Die Auslegung der Art. 189 und 190 StGB hat sich insbesondere an der Frage der (zumutbaren) Selbstschutzmöglichkeit des Opfers zu orientieren (vgl. JENNY, Kommentar, Art. 189 StGB N. 14 f.; BRIGITTE SICK, Sexuelles Selbstbestimmungsrecht und Vergewaltigungsbegriff, Wien 1993, S. 336). Es versteht sich von selbst, dass nicht jeder beliebige Zwang, nicht schon jedes den Handlungserfolg bewirkende kausale Verhalten, auf Grund dessen es zu einem ungewollten Geschlechtsverkehr kommt, eine sexuelle Nötigung darstellen kann (SICK, a.a.O., ebd.; ausführlich zum Ganzen MAIER, a.a.O., S. 402 ff.). Mit Blick darauf wird für die Abgrenzung zwischen dem psychischen Druck nach den Art. 189 und 190 StGB und der Abhängigkeit gemäss Art. 193 StGB unter anderem darauf abzustellen sein, ob der Täter mit zusätzlichen Einwirkungen (als der blossen Ausnützung des Therapeuten-Patienten-Gefälles) auf das Opfer wesentlich dazu beitrug, dieses in eine (subjektiv) ausweglose Lage zu bringen. Dabei wird der Schwere der Beeinflussung entscheidende Bedeutung zukommen. BGE 128 IV 106 S. 114 c) aa) Aus dem Urteil der Vorinstanz geht hervor, dass der Beschwerdeführer Y. im Tatzeitraum therapeutisch betreute. Diese Betreuung setzte er auch dann noch fort, als Y. zu einem anderen Therapeuten gewechselt hatte. Fest steht sodann, dass zwischen Y. und dem Beschwerdeführer ein während der Therapie gewachsenes und darüber hinausdauerndes Abhängigkeitsverhältnis bestand. Es ist deshalb grundsätzlich unbeachtlich, über welche Ausbildung der Beschwerdeführer verfügte und ob er einzelne der ihm vorgeworfenen Taten beging, als er formell nicht mehr der Therapeut von Y. war. bb) Die Ausführungen in den Urteilen der Vorinstanzen zur Person der Geschädigten vermitteln das Bild einer (im Tatzeitraum) schwachen Persönlichkeit mit geringem Selbstwertgefühl, die in ihrer Kindheit von ihren Eltern verstossen worden war, in jungen Jahren alkoholabhängig wurde, ungefähr ab dem 17. Altersjahr auf der Strasse lebte und sich mit Prostitution durchbringen musste. Der Beschwerdeführer war für die Geschädigte nicht nur Therapeut, sondern er nahm für sie eine Vaterstellung ein. Er hatte im Leben von Y. einen entsprechend hohen Stellenwert. Er war für sie wie ein "Geländer, an welchem sie sich halten konnte", "eine Stütze und eine Hilfe", was der Beschwerdeführer wusste. Ihm war auch bekannt, dass Y. bei manchen mittäglichen Treffen alkoholisiert war. Obschon er in jedem Gespräch daran arbeitete, dass die Geschädigte lerne, sich zu wehren und nicht zu machen, was die andern ihr sagten, unterlief er diese Bemühungen, indem er seine Vertrauensstellung missbrauchte, um gerade diese Schwächen der Geschädigten für seine sexuelle Befriedigung auszunützen. Y. widersetzte sich den sexuellen Forderungen des Beschwerdeführers lange Zeit kaum, weil sie Angst hatte, ihn zu verlieren. Der Beschwerdeführer hatte ihr ein Schweigegebot auferlegt, da ihm eine Offenlegung der Vorfälle die Stelle kosten könnte. Mit dem Hinweis, dass er "allen erzählen würde, was für eine Person sie sei", wenn sie seinen Wünschen nicht nachkomme, belastete und schüchterte er sie zusätzlich ein. Da sie seine Hilfe und väterliche Zuneigung benötigte und durch eine Anzeige nicht aufs Spiel setzen wollte, fühlte sie sich den sexuellen Forderungen des Beschwerdeführers ausgeliefert. Angesichts der schwerwiegenden Probleme der Geschädigten und ihrer Persönlichkeitsstruktur bestand zwischen ihr und dem Beschwerdeführer allein schon therapiebedingt eine Abhängigkeit. Diese wurde durch die Vater-Tochter-ähnliche-Beziehung zusätzlich verstärkt. Y. war durch ihre Jugendzeit (Verstossenwerden durch den Vater) und vor allem durch ihre Alkoholerkrankung physisch und psychisch BGE 128 IV 106 S. 115 überdurchschnittlich belastet sowie subjektiv auf die Lebenshilfe seitens des Beschwerdeführers angewiesen. Dieser nutzte die Abhängigkeit der Geschädigten zur Durchsetzung seiner sexuellen Forderungen aus. Obschon angesichts dieser Umstände nachvollziehbar ist, dass die Geschädigte den Beschwerdeführer gewähren liess bzw. sich ihm nicht widersetzte, war ihre Lage unter dem Gesichtspunkt der Art. 189 und 190 StGB nicht aussichtslos und eine Widersetzung nicht unzumutbar. Das gilt zunächst für die Telefonate des Beschwerdeführers, welche die Geschädigte gar nicht erst hätte entgegennehmen oder aber vorzeitig beenden können, aber auch für die weiteren Vorfälle. Entscheidend ist in diesem Zusammenhang, dass die Beschwerdeführerin bereits im Jahre 1991 eine Therapie mit dem Beschwerdeführer abgebrochen hatte, als dieser ihr mit Fusskontakten und Umarmungen zu nahe gekommen war, im November 1992 aber wieder zu ihm zurückkehrte, weil sie ihn als Fachmann betrachtete. Es ist nicht zu erkennen, weshalb die Geschädigte bereits kurz nach Wiederaufnahme der Therapie gegenüber den Annäherungen des Beschwerdeführers in einer aussichtslosen Lage gewesen sein soll, in der ihr ein Widerstand oder Ausweichen nicht habe zugemutet werden können, nachdem es ihr doch zuvor bereits gelungen war, aus geringerem Anlass eine Therapie beim Beschwerdeführer abzubrechen. Dies umso weniger, als der vom Beschwerdeführer ausgeübte Druck im Unterschied zu den vom Bundesgericht bisher bejahten Fällen bei erwachsenen Opfern weder andauernd noch vergleichbar intensiv war (vgl. BGE 126 IV 124 ; Urteil des Bundesgerichts 6S.199/2000 vom 10. April 2001). Die Missachtung des der Geschädigten vom Beschwerdeführer auferlegten Schweigegebotes hätte vorrangig dem Beschwerdeführer geschadet. Für die Geschädigte selbst hätte dies einzig den Verlust der Behandlung und der Vaterfigur bedeutet, was nicht als erhebliche Nachteile zu werten ist. Ein mit den anderen Nötigungsmitteln der Art. 189 und 190 StGB vergleichbarer nötigender psychischer Druck lässt sich auch nicht aus dem äusserst unspezifischen Hinweis des Beschwerdeführers an die Geschädigte ableiten, dass er "allen erzählen würde, was für eine Person sie sei", wenn sie seinen Wünschen nicht nachkomme. Den Urteilen der Vorinstanzen lässt sich nämlich nicht entnehmen, dass die Geschädigte befürchtete, der Beschwerdeführer könnte potenziell rufschädigende Tatsachen über sie verbreiten (z.B. Alkoholismus, Werdegang), die ihrem Umfeld nicht bereits bekannt waren. d) Zusammenfassend ergibt sich, dass die Abhängigkeit der Geschädigten vom Beschwerdeführer keinen für die Annahme eines BGE 128 IV 106 S. 116 psychischen Druckes im Sinne der Art. 189 und 190 StGB genügenden Schweregrad erreichte. Die Verurteilung des Beschwerdeführers wegen mehrfacher sexueller Nötigung und mehrfacher Vergewaltigung verletzt Bundesrecht. Mit der Aufhebung des angefochtenen Urteils in den genannten Punkten erübrigt sich eine Überprüfung der ebenfalls beanstandeten Strafzumessung. e) aa) Die Vorinstanz hat einerseits vollständig auf den von der Anklageschrift geschilderten Sachverhalt abgestellt. Andererseits hat sie die Schilderungen der Geschädigten als glaubwürdig angesehen und damit vollständig übernommen. Während die Anklageschrift nur eine Verhaltensweise des Beschwerdeführers schildert, die als physische Gewalt gewertet werden könnte (Festhalten der Unterarme und Hände, Sich-mit-dem-ganzen-Körpergewicht-auf-die-Geschädigte-Legen, Niederdrücken in die Matratze), gehen aus den von der Vorinstanz gewürdigten Aussagen der Geschädigten weitere ähnliche Handlungen des Beschwerdeführers hervor. Die Geschädigte gab an, der Beschwerdeführer habe sie mit einer Art Würgegriff immer am Hals packen wollen und ihr auch die Kleider vom Leib gerissen. Die Vorinstanz führt aus, die Anklage gehe hauptsächlich von einem psychischen Druck des Beschwerdeführers aus und nur am Rande von physischer Gewalt. Die gegenüber der Anklageschrift ergänzenden und präzisierenden Ausführungen der Geschädigten wirkten sich nicht zum Nachteil des Beschwerdeführers aus. Daraus wird nicht deutlich, ob die Vorinstanz gestützt auf den Anklagegrundsatz nur auf den in der Anklageschrift geschilderten Sachverhalt abstellt und nicht auf die zusätzlichen Schilderungen der Geschädigten, oder ob sie zu Gunsten des Beschwerdeführers rechtlich davon ausgeht, sein Verhalten erfülle lediglich das Tatbestandsmerkmal des Unter-psychischen-Druck-Setzens und nicht auch dasjenige der Gewalt. Unter diesen Umständen wird die Vorinstanz bei der Neubeurteilung prüfen müssen, ob der Beschwerdeführer die Geschädigte mit Gewalt zum Geschlechtsverkehr oder zu sexuellen Handlungen nötigte und deshalb die Tatbestände der Art. 189 und 190 StGB erfüllte. bb) Soweit die von der Vorinstanz als Vergewaltigung und sexuelle Nötigung qualifizierten Handlungen des Beschwerdeführers den Tatbestand der Ausnützung der Notlage ( Art. 193 StGB ) erfüllen könnten, wäre die Frage der Verjährung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