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w:t>
      </w:r>
    </w:p>
    <w:p>
      <w:r>
        <w:t>Bundesgericht (BGE), 2001-01-01, DE</w:t>
      </w:r>
    </w:p>
    <w:p>
      <w:r>
        <w:rPr>
          <w:b/>
        </w:rPr>
        <w:t xml:space="preserve">Quelle: </w:t>
      </w:r>
      <w:r>
        <w:t>https://mcp.opencaselaw.ch/entscheid/bge_BGE_128_IV_1</w:t>
      </w:r>
    </w:p>
    <w:p>
      <w:r>
        <w:t>FR: ATF 128 IV 1</w:t>
      </w:r>
    </w:p>
    <w:p>
      <w:r>
        <w:t>IT: DTF 128 IV 1</w:t>
      </w:r>
    </w:p>
    <w:p>
      <w:pPr>
        <w:pStyle w:val="Heading2"/>
      </w:pPr>
      <w:r>
        <w:t>Regeste</w:t>
      </w:r>
    </w:p>
    <w:p>
      <w:r>
        <w:t>Regeste Art. 38 Ziff. 4 Abs. 1 StGB; Strafausscheidung, Rechtsmittel. Die nachträgliche Strafausscheidung ist eine strafzumessungsrechtliche Frage. Sie ist daher mit Nichtigkeitsbeschwerde anzufechten (E. 1).</w:t>
      </w:r>
    </w:p>
    <w:p>
      <w:r>
        <w:t>Regeste Art. 38 ch. 4 al. 1 CP; quote-part de la peine, voie de recours. La détermination d'une quote-part de la peine, postérieurement au jugement, constitue une question de mesure de la peine. A ce titre, elle doit être attaquée par la voie du pourvoi en nullité (consid. 1).</w:t>
      </w:r>
    </w:p>
    <w:p>
      <w:r>
        <w:t>Regesto Art. 38 n. 4 cpv. 1 CP; suddivisione della pena; vie di ricorso. La suddivisione successiva della pena è una questione che concerne la misura della pena. Pertanto, essa deve essere impugnata con ricorso per cassazione (consid. 1).</w:t>
      </w:r>
    </w:p>
    <w:p>
      <w:pPr>
        <w:pStyle w:val="Heading2"/>
      </w:pPr>
      <w:r>
        <w:t>Erwägungen</w:t>
      </w:r>
    </w:p>
    <w:p>
      <w:r>
        <w:rPr>
          <w:b/>
        </w:rPr>
        <w:t>E. 1</w:t>
      </w:r>
    </w:p>
    <w:p>
      <w:r>
        <w:t>Begeht der Entlassene während der Probezeit eine strafbare Handlung, für die er zu einer drei Monate übersteigenden und unbedingt zu vollziehenden Freiheitsstrafe verurteilt wird, so ordnet die zuständige Behörde die Rückversetzung an. Wird der Entlassene zu einer milderen oder zu einer bedingt zu vollziehenden Strafe verurteilt, so kann die zuständige Behörde von der Rückversetzung Umgang nehmen ( Art. 38 Ziff. 4 Abs. 1 StGB ). Regelmässig bestimmen die Strafgerichte bei der Strafzumessung jenen Strafanteil, der auf die während der Probezeit begangene strafbare Handlung entfällt. Vorliegend hatte das Strafgericht diesen Strafanteil auf Grund der Umstände nicht genau festgesetzt. Die Vorinstanz nimmt im Sinne der in BGE 101 Ib 154 begründeten Rechtsprechung eine Strafausscheidung vor. Es handelt sich um eine dem Entscheid der zuständigen Vollzugsbehörde gemäss Art. 38 Ziff. 4 Abs. 1 StGB vorausgehende Ausscheidung des Strafanteils, der auf die in der Probezeit verübte Straftat entfällt. Dabei geht es nicht um eine materielle Änderung des rechtskräftigen Urteils, sondern bloss um dessen Präzisierung oder Erläuterung im Sinne einer nachträglichen Unterteilung der in ihrer Gesamtheit unverändert BGE 128 IV 1 S. 3 bleibenden Strafe ( BGE 101 Ib 154 S. 156). Die Vollzugsbehörde muss sich diesbezüglich beim urteilenden Gericht erkundigen ( BGE 104 Ib 21 E. 1). Das Gericht zieht bei der Strafausscheidung auch die Vorschriften von Art. 63 ff. StGB heran ( BGE 101 Ib 154 S. 156). Solche Entscheidungen betreffen die Strafe selbst und stellen nicht blosse Verfügungen über deren Vollzug dar. Diese nachträgliche Quotenaufteilung ist eine strafzumessungsrechtliche Frage (vgl. auch BGE 82 I 167 und BGE 83 IV 111 zur insoweit vergleichbaren Quotenausscheidung bei der Auslieferung zum Zwecke des Strafvollzugs). Die nachträgliche Strafausscheidung ist daher mit Nichtigkeitsbeschwerde anzufechten und nicht mit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