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97</w:t>
      </w:r>
    </w:p>
    <w:p>
      <w:r>
        <w:t>Bundesgericht (BGE), 2002-02-11, DE</w:t>
      </w:r>
    </w:p>
    <w:p>
      <w:r>
        <w:rPr>
          <w:b/>
        </w:rPr>
        <w:t xml:space="preserve">Quelle: </w:t>
      </w:r>
      <w:r>
        <w:t>https://mcp.opencaselaw.ch/entscheid/bge_BGE_128_II_97</w:t>
      </w:r>
    </w:p>
    <w:p>
      <w:r>
        <w:t>FR: ATF 128 II 97</w:t>
      </w:r>
    </w:p>
    <w:p>
      <w:r>
        <w:t>IT: DTF 128 II 97</w:t>
      </w:r>
    </w:p>
    <w:p>
      <w:pPr>
        <w:pStyle w:val="Heading2"/>
      </w:pPr>
      <w:r>
        <w:t>Regeste</w:t>
      </w:r>
    </w:p>
    <w:p>
      <w:r>
        <w:t>Regeste Erleichterte Einbürgerung und Widerruf derselben (Art. 27 und 41 BüG). Im massgebenden Zeitraum bestand keine tatsächliche eheliche Gemeinschaft im Sinne von Art. 27 BüG (E. 3). Das blosse Fehlen der Einbürgerungsvoraussetzungen genügt nicht für eine Nichtigerklärung der Einbürgerung; letztere muss vielmehr "erschlichen", d.h. mit einem unlauteren und täuschenden Verhalten erwirkt worden sein. Nichtigkeit bejaht (E. 4).</w:t>
      </w:r>
    </w:p>
    <w:p>
      <w:r>
        <w:t>Regeste Naturalisation facilitée, révocation (art. 27 et 41 LN). Au moment déterminant, il n'existait aucune communauté conjugale au sens de l'art. 27 LN (consid. 3). Le seul défaut de réalisation des conditions de naturalisation ne suffit pas à fonder une annulation de celle-ci; la naturalisation doit au contraire avoir été obtenue "frauduleusement", c'est-à-dire par un comportement déloyal et trompeur. Annulation admise (consid. 4).</w:t>
      </w:r>
    </w:p>
    <w:p>
      <w:r>
        <w:t>Regesto Naturalizzazione agevolata, annullamento (art. 27 e 41 LCit). Al momento determinante, non esisteva alcuna unione coniugale ai sensi dell'art. 27 LCit (consid. 3). La mancata realizzazione delle condizioni per la naturalizzazione non è sufficiente, di per sé, per decretarne il suo annullamento; al contrario, la naturalizzazione deve essere stata conseguita in modo "fraudolento", vale a dire tramite un comportamento sleale e ingannatore. Annullamento ammesso (consid. 4).</w:t>
      </w:r>
    </w:p>
    <w:p>
      <w:pPr>
        <w:pStyle w:val="Heading2"/>
      </w:pPr>
      <w:r>
        <w:t>Erwägungen</w:t>
      </w:r>
    </w:p>
    <w:p>
      <w:r>
        <w:rPr>
          <w:b/>
        </w:rPr>
        <w:t>E. 3</w:t>
      </w:r>
    </w:p>
    <w:p>
      <w:r>
        <w:t>a) Nach Art. 27 Abs. 1 des Bundesgesetzes vom 29. September 1952 über Erwerb und Verlust des Schweizer Bürgerrechts (in BGE 128 II 97 S. 99 der Fassung vom 23. März 1990 [BüG; SR 141.0] )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demjenigen des ZGB ( BGE 121 II 49 E. 2b S. 51 mit Hinweis auf die Lehre). Das Bundesgericht geht davon aus, dass eine eheliche Gemeinschaft im Sinn des Bürgerrechtsgesetzes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b) Im Zeitpunkt der Erklärung vom 26. November 1996 und der Einbürgerungsverfügung vom 11. Dezember 1996 war der Beschwerdeführer noch mit B. verheiratet und sie wohnten in der gleichen Wohnung. Dies ergibt sich aus ihren Erklärungen sowie den Schreiben der Nachbarn. Die damalige Ehefrau leitete das Ehescheidungsverfahren knapp ein Jahr später am 27. November 1997 ein. Das EJPD vertritt im angefochtenen Entscheid die Auffassung, bei den beiden habe bereits im Jahre 1996 der Wille gefehlt, die eheliche Gemeinschaft aufrecht zu erhalten. Der Beschwerdeführer macht demgegenüber geltend, der Scheidungswille sei bei der Ehefrau erst nach der Einbürgerungsverfügung im Zeitpunkt BGE 128 II 97 S. 100 entstanden, als er seine Kinder aus erster Ehe in die Schweiz geholt habe. Bis zu diesem Zeitpunkt habe die eheliche Gemeinschaft bestanden. Für ihren Schluss haben die Vorinstanzen die Scheidungsakten beigezogen. Dem Protokoll des Instruktionsrichters lässt sich Folgendes entnehmen: B. antwortete auf die Frage, weshalb sie geheiratet habe, sie habe sich lange gegen diese Heirat gewehrt, aber ihr Mann habe sie immer wieder gedrängt, und so sei sie halt in das Ganze hineingeraten. Er sei vorher Asylbewerber gewesen, vielleicht hätte er ohne Heirat ausreisen müssen. Auf die Frage, ob es richtig sei, dass sie bei der Heirat mitgemacht habe, damit er in der Schweiz bleiben könne, erwiderte sie, das müsse sie heute wohl zugeben. Der Beschwerdeführer seinerseits tat sich schwer mit der Frage, weshalb er B. geheiratet habe. Er vertrat die Meinung, dies sei einfach eine normale Heirat gewesen, und er sehe in der Erkundigung nach dem Grund derselben keinen Sinn. B. führte zur Ehe aus, diese sei zwei Jahre lang gut gegangen, im dritten Jahr, also 1995 hätten die Probleme begonnen und danach habe die Ehe nicht mehr funktioniert. Auf die Frage, ob die Ehe gerade so lange gedauert habe, bis ihr Mann den Schweizer Pass habe erhalten können, antwortete sie, jedenfalls habe er diesen jetzt. Bezüglich der Eheschwierigkeiten entgegnete B., sie verstünden sich einfach nicht mehr. Hinzu komme, dass vor kurzer Zeit die sechs Kinder ihres Mannes in die Schweiz gekommen seien, welcher Belastung sie nicht mehr gewachsen sei. Mit diesen Aussagen stehen die Schreiben von B. nicht im Widerspruch. Sie betonte schriftlich immer wieder, sie habe mit dem Beschwerdeführer keine Scheinehe geführt, die Ehe sei im Anfangsstadium durchaus normal gewesen und wenn sie schliesslich die Scheidung beantragt habe, dann vorab, weil sie die sechs Kinder im Haushalt nicht ertragen habe. Gestützt auf diese Aussagen und andern Beweismittel durfte die Vorinstanz annehmen, die Ehe sei insbesondere seitens des Beschwerdeführers von Anfang an vorab wegen des Bleiberechts abgeschlossen worden und es habe bereits im Jahre 1996, also im Zeitpunkt der unterschriftlichen Erklärung der Eheleute, der massgebliche Wille zur Aufrechterhaltung der ehelichen Gemeinschaft gefehlt. Ebenso wenig ist die Schlussfolgerung zu beanstanden, der Beschwerdeführer sei im Jahre 1996 nicht dem Wohl und dem Fortbestand der Ehe verpflichtet gewesen, sondern habe seine Einbürgerung verfolgt. Zwar hat möglicherweise der Nachzug der sechs unmündigen Kinder den äusseren Anlass gegeben, dass B. das BGE 128 II 97 S. 101 Scheidungsverfahren etwas weniger als ein Jahr nach der Einbürgerung eingeleitet hat, doch bestehen erhebliche Zweifel, ob die eheliche Gemeinschaft nicht bereits vorher schon nicht mehr intakt gewesen war. Zudem ist die Feststellung nicht zu beanstanden, der Beschwerdeführer habe die Einleitung des Verfahrens mit dem Kindernachzug provoziert. Sofern er die Scheidung nicht vorsätzlich anstrebte, musste er mindestens wissen und nahm es bewusst in Kauf, dass seine 74-jährige Frau als Stiefmutter die sechs ihr unbekannten Kinder aus einem andern Kultur- und Sprachkreis in ihrer Wohnung auf Dauer nicht wird ertragen können. Daran ändert nichts, dass B. heute nach wie vor Kontakt mit dem Beschwerdeführer und seiner Familie hat. Zusammenfassend ist festzuhalten, dass im massgebenden Zeitraum die eheliche Gemeinschaft seitens des Gesuchstellers - gestützt auf die angeführten Indizien - bloss als eine fiktive und nicht als eine tatsächliche im Sinne von Art. 27 BüG qualifiziert werden muss. Ein schützenswertes Interesse des Beschwerdeführers, die Einheit des Bürgerrechts im Hinblick auf eine gemeinsame Zukunft der Ehegatten herzustellen, muss deshalb verneint werden.</w:t>
      </w:r>
    </w:p>
    <w:p>
      <w:r>
        <w:rPr>
          <w:b/>
        </w:rPr>
        <w:t>E. 4</w:t>
      </w:r>
    </w:p>
    <w:p>
      <w:r>
        <w:t>a)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d.h. mit einem unlauteren und täuschenden Verhalten erwirkt worden ist. b) Vorliegend ergibt sich aus den Scheidungsakten und den gesamten Umständen, dass die gesetzlichen Voraussetzungen für die Nichtigerklärung erfüllt sind. Das planmässige Vorgehen des Beschwerdeführers, das Irreführen der Behörden und möglicherweise auch seiner geschiedenen Frau sind durch die Scheidungsakten und insbesondere durch den Ereignisablauf belegt. Nachdem der Beschwerdeführer in die Schweiz eingereist war, stellte er ein Asylgesuch. Kurz vor dessen absehbarer Ablehnung wurde die Scheidung von seiner türkischen Frau, mit welcher er acht Kinder gezeugt hatte, ausgesprochen, und nur zwei Monate später fand die überhastete Eheschliessung mit einer 34 Jahre älteren Schweizerin statt. Diese Verbindung, welche seitens des Beschwerdeführers bloss als fiktiv zu gelten hat (E. 3b hievor), wurde aufrecht erhalten, bis die formellen Voraussetzungen für die Einbürgerung gegeben waren. BGE 128 II 97 S. 102 Nur kurze Zeit nach der Einreise der sechs minderjährigen Kinder wurde die Ehe geschieden und verheiratete sich der Beschwerdeführer erneut mit seiner ersten Ehefrau und beantragte deren Nachzug in die Schweiz. All diese Ereignisse können vom Beschwerdeführer nicht glaubwürdig als ein zufälliger Geschehnisablauf dargestellt werden. Angesichts der gesamten Abfolge der Ereignisse nicht glaubwürdig ist namentlich der Einwand des Beschwerdeführers, er habe seine erste Frau nur in die Schweiz geholt und in der Folge wieder geheiratet, um jemanden zu haben, der die Kinder betreue, denn nach der Scheidung von seiner zweiten Frau sei er mit seinen sechs Kindern und seiner Arbeit alleine dagestanden. Die Vorinstanz hat mit Grund darauf hingewiesen, dass der Beschwerdeführer in der Vergangenheit wiederholt unrichtige oder unvollständige Angaben zu seinen persönlichen Verhältnissen gemacht hat, wenn ihm dies zur Verfolgung eines bestimmten Zwecks vorteilhaft erschien (Angaben über die Anzahl seiner Kinder, seines Zivilstands, seines Aufenthaltsorts u.a.). Sie durfte daher seine Glaubwürdigkeit in Zweifel ziehen. Im Ganzen gesehen muss dem Beschwerdeführer Rechtsmissbrauch vorgeworfen werden, weil er das Rechtsinstitut der Ehe zweckwidrig zur Verwirklichung von Interessen verwendet hat, die dieses Rechtsinstitut nicht schützen will (vgl. BGE 127 II 49 E. 5a S. 56 zu Art. 7 ANAG [SR 142.20]). Die Vorinstanz hat weder Art. 41 BüG verletzt, noch ihr Ermessen missbraucht oder überschritten, wenn sie die Nichtigerklärung der Einbürgerung bestätigt hat. Die Verwaltungsgerichtsbeschwerde muss aus diesen Gründen abgewiesen werden. Mit dem Entscheid in der Sache wird das Gesuch um Anordnung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